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1" w:type="dxa"/>
        <w:tblInd w:w="18" w:type="dxa"/>
        <w:tblLayout w:type="fixed"/>
        <w:tblLook w:val="0000"/>
      </w:tblPr>
      <w:tblGrid>
        <w:gridCol w:w="4768"/>
        <w:gridCol w:w="5103"/>
      </w:tblGrid>
      <w:tr w:rsidR="002C1CEE" w:rsidRPr="00A97613" w:rsidTr="00557330">
        <w:trPr>
          <w:trHeight w:val="803"/>
        </w:trPr>
        <w:tc>
          <w:tcPr>
            <w:tcW w:w="4768" w:type="dxa"/>
          </w:tcPr>
          <w:p w:rsidR="002C1CEE" w:rsidRPr="006B173A" w:rsidRDefault="002C1CEE" w:rsidP="00557330">
            <w:pPr>
              <w:spacing w:line="0" w:lineRule="atLeast"/>
              <w:jc w:val="both"/>
              <w:rPr>
                <w:rFonts w:ascii="Arial" w:hAnsi="Arial" w:cs="Arial"/>
                <w:bCs/>
                <w:sz w:val="22"/>
                <w:lang w:val="nl-NL"/>
              </w:rPr>
            </w:pPr>
            <w:r w:rsidRPr="006B173A">
              <w:rPr>
                <w:rFonts w:ascii="Arial" w:hAnsi="Arial" w:cs="Arial"/>
                <w:b/>
                <w:sz w:val="22"/>
                <w:lang w:val="nl-NL"/>
              </w:rPr>
              <w:t>Công ty CP Cung ứng và DVKT Hàng Hải</w:t>
            </w:r>
          </w:p>
          <w:p w:rsidR="002C1CEE" w:rsidRPr="006B173A" w:rsidRDefault="002C1CEE" w:rsidP="00557330">
            <w:pPr>
              <w:spacing w:line="0" w:lineRule="atLeast"/>
              <w:jc w:val="both"/>
              <w:rPr>
                <w:rFonts w:ascii="Arial" w:hAnsi="Arial" w:cs="Arial"/>
                <w:b/>
                <w:sz w:val="22"/>
                <w:lang w:val="nl-NL"/>
              </w:rPr>
            </w:pPr>
            <w:r w:rsidRPr="006B173A">
              <w:rPr>
                <w:rFonts w:ascii="Arial" w:hAnsi="Arial" w:cs="Arial"/>
                <w:b/>
                <w:sz w:val="22"/>
                <w:lang w:val="nl-NL"/>
              </w:rPr>
              <w:t>Địa chỉ:</w:t>
            </w:r>
            <w:r w:rsidRPr="006B173A">
              <w:rPr>
                <w:rFonts w:ascii="Arial" w:hAnsi="Arial" w:cs="Arial"/>
                <w:bCs/>
                <w:sz w:val="22"/>
                <w:lang w:val="nl-NL"/>
              </w:rPr>
              <w:t xml:space="preserve"> Số 8A đường vòng Vạn Mỹ - NQ - HP</w:t>
            </w:r>
          </w:p>
        </w:tc>
        <w:tc>
          <w:tcPr>
            <w:tcW w:w="5103" w:type="dxa"/>
          </w:tcPr>
          <w:p w:rsidR="002C1CEE" w:rsidRPr="006B173A" w:rsidRDefault="002C1CEE" w:rsidP="00557330">
            <w:pPr>
              <w:spacing w:line="0" w:lineRule="atLeast"/>
              <w:jc w:val="right"/>
              <w:rPr>
                <w:rFonts w:ascii="Arial" w:hAnsi="Arial" w:cs="Arial"/>
                <w:b/>
                <w:sz w:val="22"/>
                <w:lang w:val="nl-NL"/>
              </w:rPr>
            </w:pPr>
            <w:r w:rsidRPr="006B173A">
              <w:rPr>
                <w:rFonts w:ascii="Arial" w:hAnsi="Arial" w:cs="Arial"/>
                <w:b/>
                <w:sz w:val="22"/>
                <w:lang w:val="nl-NL"/>
              </w:rPr>
              <w:t>Mẫu số B09 – DN</w:t>
            </w:r>
          </w:p>
          <w:p w:rsidR="002C1CEE" w:rsidRPr="006B173A" w:rsidRDefault="002C1CEE" w:rsidP="00557330">
            <w:pPr>
              <w:spacing w:line="0" w:lineRule="atLeast"/>
              <w:ind w:firstLine="176"/>
              <w:jc w:val="center"/>
              <w:rPr>
                <w:rFonts w:ascii="Arial" w:hAnsi="Arial" w:cs="Arial"/>
                <w:bCs/>
                <w:i/>
                <w:sz w:val="22"/>
                <w:lang w:val="nl-NL"/>
              </w:rPr>
            </w:pPr>
            <w:r w:rsidRPr="006B173A">
              <w:rPr>
                <w:rFonts w:ascii="Arial" w:hAnsi="Arial" w:cs="Arial"/>
                <w:bCs/>
                <w:i/>
                <w:sz w:val="22"/>
                <w:lang w:val="nl-NL"/>
              </w:rPr>
              <w:t>(Ban hành theo Thông tư số 200/2014/TT-BTC</w:t>
            </w:r>
          </w:p>
          <w:p w:rsidR="002C1CEE" w:rsidRPr="006B173A" w:rsidRDefault="002C1CEE" w:rsidP="00557330">
            <w:pPr>
              <w:tabs>
                <w:tab w:val="left" w:pos="884"/>
                <w:tab w:val="left" w:pos="3614"/>
              </w:tabs>
              <w:spacing w:line="0" w:lineRule="atLeast"/>
              <w:ind w:firstLine="176"/>
              <w:jc w:val="right"/>
              <w:rPr>
                <w:rFonts w:ascii="Arial" w:hAnsi="Arial" w:cs="Arial"/>
                <w:b/>
                <w:sz w:val="22"/>
                <w:lang w:val="nl-NL"/>
              </w:rPr>
            </w:pPr>
            <w:r w:rsidRPr="006B173A">
              <w:rPr>
                <w:rFonts w:ascii="Arial" w:hAnsi="Arial" w:cs="Arial"/>
                <w:bCs/>
                <w:i/>
                <w:sz w:val="22"/>
                <w:lang w:val="nl-NL"/>
              </w:rPr>
              <w:t xml:space="preserve">             Ngày 22/12/2014 của Bộ Tài chính)</w:t>
            </w:r>
          </w:p>
        </w:tc>
      </w:tr>
    </w:tbl>
    <w:p w:rsidR="002C1CEE" w:rsidRPr="00A97613" w:rsidRDefault="002C1CEE" w:rsidP="002C1CEE">
      <w:pPr>
        <w:spacing w:line="0" w:lineRule="atLeast"/>
        <w:ind w:left="720" w:firstLine="720"/>
        <w:jc w:val="both"/>
        <w:rPr>
          <w:rFonts w:ascii="Arial" w:hAnsi="Arial" w:cs="Arial"/>
          <w:b/>
          <w:sz w:val="26"/>
          <w:szCs w:val="24"/>
          <w:lang w:val="nl-NL"/>
        </w:rPr>
      </w:pPr>
    </w:p>
    <w:p w:rsidR="002C1CEE" w:rsidRPr="00A97613" w:rsidRDefault="002C1CEE" w:rsidP="002C1CEE">
      <w:pPr>
        <w:spacing w:line="0" w:lineRule="atLeast"/>
        <w:jc w:val="center"/>
        <w:rPr>
          <w:rFonts w:ascii="Arial" w:hAnsi="Arial" w:cs="Arial"/>
          <w:b/>
          <w:sz w:val="36"/>
          <w:szCs w:val="36"/>
          <w:lang w:val="nl-NL"/>
        </w:rPr>
      </w:pPr>
      <w:r w:rsidRPr="00A97613">
        <w:rPr>
          <w:rFonts w:ascii="Arial" w:hAnsi="Arial" w:cs="Arial"/>
          <w:b/>
          <w:sz w:val="36"/>
          <w:szCs w:val="36"/>
          <w:lang w:val="nl-NL"/>
        </w:rPr>
        <w:t>BẢN THUYẾT MINH BÁO CÁO TÀI CHÍNH</w:t>
      </w:r>
    </w:p>
    <w:p w:rsidR="002C1CEE" w:rsidRPr="00A97613" w:rsidRDefault="002C1CEE" w:rsidP="002C1CEE">
      <w:pPr>
        <w:spacing w:line="0" w:lineRule="atLeast"/>
        <w:jc w:val="center"/>
        <w:rPr>
          <w:rFonts w:ascii="Arial" w:hAnsi="Arial" w:cs="Arial"/>
          <w:i/>
          <w:sz w:val="26"/>
          <w:szCs w:val="24"/>
          <w:lang w:val="nl-NL"/>
        </w:rPr>
      </w:pPr>
      <w:r w:rsidRPr="00A97613">
        <w:rPr>
          <w:rFonts w:ascii="Arial" w:hAnsi="Arial" w:cs="Arial"/>
          <w:i/>
          <w:sz w:val="26"/>
          <w:szCs w:val="24"/>
          <w:lang w:val="nl-NL"/>
        </w:rPr>
        <w:t xml:space="preserve">Quí </w:t>
      </w:r>
      <w:r>
        <w:rPr>
          <w:rFonts w:ascii="Arial" w:hAnsi="Arial" w:cs="Arial"/>
          <w:i/>
          <w:sz w:val="26"/>
          <w:szCs w:val="24"/>
          <w:lang w:val="nl-NL"/>
        </w:rPr>
        <w:t>1</w:t>
      </w:r>
      <w:r w:rsidRPr="00A97613">
        <w:rPr>
          <w:rFonts w:ascii="Arial" w:hAnsi="Arial" w:cs="Arial"/>
          <w:i/>
          <w:sz w:val="26"/>
          <w:szCs w:val="24"/>
          <w:lang w:val="nl-NL"/>
        </w:rPr>
        <w:t xml:space="preserve"> năm 201</w:t>
      </w:r>
      <w:r>
        <w:rPr>
          <w:rFonts w:ascii="Arial" w:hAnsi="Arial" w:cs="Arial"/>
          <w:i/>
          <w:sz w:val="26"/>
          <w:szCs w:val="24"/>
          <w:lang w:val="nl-NL"/>
        </w:rPr>
        <w:t>6</w:t>
      </w:r>
    </w:p>
    <w:p w:rsidR="002C1CEE" w:rsidRPr="006B173A" w:rsidRDefault="002C1CEE" w:rsidP="002C1CEE">
      <w:pPr>
        <w:jc w:val="both"/>
        <w:rPr>
          <w:rFonts w:ascii="Arial" w:hAnsi="Arial" w:cs="Arial"/>
          <w:b/>
          <w:sz w:val="24"/>
          <w:szCs w:val="24"/>
          <w:lang w:val="nl-NL"/>
        </w:rPr>
      </w:pPr>
      <w:r w:rsidRPr="006B173A">
        <w:rPr>
          <w:rFonts w:ascii="Arial" w:hAnsi="Arial" w:cs="Arial"/>
          <w:b/>
          <w:sz w:val="24"/>
          <w:szCs w:val="24"/>
          <w:lang w:val="nl-NL"/>
        </w:rPr>
        <w:t>I- Đặc điểm hoạt động của doanh nghiệp</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1- Hình thức sở hữu vốn: Công ty CP Cung ứng và dịch vụ kỹ thuật Hàng Hải được thành lập theo Quyết định số 2375/QĐ- BGTVT ngày 14/8/2003 của Bộ trưởng Bộ GTVT về việc chuyển doanh nghiệp Nhà nước thành Công ty cổ phần. Giấy chứng nhận đăng ký kinh doanh thay đổi lần thứ 1</w:t>
      </w:r>
      <w:r>
        <w:rPr>
          <w:rFonts w:ascii="Arial" w:hAnsi="Arial" w:cs="Arial"/>
          <w:sz w:val="24"/>
          <w:szCs w:val="24"/>
          <w:lang w:val="nl-NL"/>
        </w:rPr>
        <w:t>3</w:t>
      </w:r>
      <w:r w:rsidRPr="006B173A">
        <w:rPr>
          <w:rFonts w:ascii="Arial" w:hAnsi="Arial" w:cs="Arial"/>
          <w:sz w:val="24"/>
          <w:szCs w:val="24"/>
          <w:lang w:val="nl-NL"/>
        </w:rPr>
        <w:t xml:space="preserve"> vào ngày 2</w:t>
      </w:r>
      <w:r>
        <w:rPr>
          <w:rFonts w:ascii="Arial" w:hAnsi="Arial" w:cs="Arial"/>
          <w:sz w:val="24"/>
          <w:szCs w:val="24"/>
          <w:lang w:val="nl-NL"/>
        </w:rPr>
        <w:t>9</w:t>
      </w:r>
      <w:r w:rsidRPr="006B173A">
        <w:rPr>
          <w:rFonts w:ascii="Arial" w:hAnsi="Arial" w:cs="Arial"/>
          <w:sz w:val="24"/>
          <w:szCs w:val="24"/>
          <w:lang w:val="nl-NL"/>
        </w:rPr>
        <w:t>/2/201</w:t>
      </w:r>
      <w:r>
        <w:rPr>
          <w:rFonts w:ascii="Arial" w:hAnsi="Arial" w:cs="Arial"/>
          <w:sz w:val="24"/>
          <w:szCs w:val="24"/>
          <w:lang w:val="nl-NL"/>
        </w:rPr>
        <w:t>6</w:t>
      </w:r>
      <w:r w:rsidRPr="006B173A">
        <w:rPr>
          <w:rFonts w:ascii="Arial" w:hAnsi="Arial" w:cs="Arial"/>
          <w:sz w:val="24"/>
          <w:szCs w:val="24"/>
          <w:lang w:val="nl-NL"/>
        </w:rPr>
        <w:t xml:space="preserve"> với vốn điều lệ là </w:t>
      </w:r>
      <w:r>
        <w:rPr>
          <w:rFonts w:ascii="Arial" w:hAnsi="Arial" w:cs="Arial"/>
          <w:sz w:val="24"/>
          <w:szCs w:val="24"/>
          <w:lang w:val="nl-NL"/>
        </w:rPr>
        <w:t>131.089.820.000</w:t>
      </w:r>
      <w:r w:rsidRPr="006B173A">
        <w:rPr>
          <w:rFonts w:ascii="Arial" w:hAnsi="Arial" w:cs="Arial"/>
          <w:sz w:val="24"/>
          <w:szCs w:val="24"/>
          <w:lang w:val="nl-NL"/>
        </w:rPr>
        <w:t xml:space="preserve"> đồng tương đương </w:t>
      </w:r>
      <w:r>
        <w:rPr>
          <w:rFonts w:ascii="Arial" w:hAnsi="Arial" w:cs="Arial"/>
          <w:sz w:val="24"/>
          <w:szCs w:val="24"/>
          <w:lang w:val="nl-NL"/>
        </w:rPr>
        <w:t>13.108.982</w:t>
      </w:r>
      <w:r w:rsidRPr="006B173A">
        <w:rPr>
          <w:rFonts w:ascii="Arial" w:hAnsi="Arial" w:cs="Arial"/>
          <w:sz w:val="24"/>
          <w:szCs w:val="24"/>
          <w:lang w:val="nl-NL"/>
        </w:rPr>
        <w:t xml:space="preserve"> cổ phiếu.</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2- Ngành nghề kinh doanh: Hoạt động dịch vụ hỗ trợ liên quan đến vận tải, sửa chữa bảo dưỡng phương tiện vận tải thủy bộ, sửa chữa máy móc thiết bị, gia công cơ khí, bán lẻ thực phẩm trong các cửa hàng chuyên doanh:sữa, sản phẩm chế biến từ sữa, thịt và các sản phẩm từ thị gia cầm.</w:t>
      </w:r>
    </w:p>
    <w:p w:rsidR="002C1CEE" w:rsidRPr="006B173A" w:rsidRDefault="002C1CEE" w:rsidP="002C1CEE">
      <w:pPr>
        <w:tabs>
          <w:tab w:val="left" w:pos="7914"/>
        </w:tabs>
        <w:jc w:val="both"/>
        <w:rPr>
          <w:rFonts w:ascii="Arial" w:hAnsi="Arial" w:cs="Arial"/>
          <w:sz w:val="24"/>
          <w:szCs w:val="24"/>
          <w:lang w:val="nl-NL"/>
        </w:rPr>
      </w:pPr>
      <w:r w:rsidRPr="006B173A">
        <w:rPr>
          <w:rFonts w:ascii="Arial" w:hAnsi="Arial" w:cs="Arial"/>
          <w:sz w:val="24"/>
          <w:szCs w:val="24"/>
          <w:lang w:val="nl-NL"/>
        </w:rPr>
        <w:tab/>
      </w:r>
    </w:p>
    <w:p w:rsidR="002C1CEE" w:rsidRPr="006B173A" w:rsidRDefault="002C1CEE" w:rsidP="002C1CEE">
      <w:pPr>
        <w:jc w:val="both"/>
        <w:rPr>
          <w:rFonts w:ascii="Arial" w:hAnsi="Arial" w:cs="Arial"/>
          <w:b/>
          <w:sz w:val="24"/>
          <w:szCs w:val="24"/>
          <w:lang w:val="nl-NL"/>
        </w:rPr>
      </w:pPr>
      <w:r w:rsidRPr="006B173A">
        <w:rPr>
          <w:rFonts w:ascii="Arial" w:hAnsi="Arial" w:cs="Arial"/>
          <w:b/>
          <w:sz w:val="24"/>
          <w:szCs w:val="24"/>
          <w:lang w:val="nl-NL"/>
        </w:rPr>
        <w:t>II- Kỳ kế toán, đơn vị tiền tệ sử dụng trong kế toán</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1- Kỳ kế toán quý (bắt đầu từ ngày 01/</w:t>
      </w:r>
      <w:r>
        <w:rPr>
          <w:rFonts w:ascii="Arial" w:hAnsi="Arial" w:cs="Arial"/>
          <w:sz w:val="24"/>
          <w:szCs w:val="24"/>
          <w:lang w:val="nl-NL"/>
        </w:rPr>
        <w:t>01</w:t>
      </w:r>
      <w:r w:rsidRPr="006B173A">
        <w:rPr>
          <w:rFonts w:ascii="Arial" w:hAnsi="Arial" w:cs="Arial"/>
          <w:sz w:val="24"/>
          <w:szCs w:val="24"/>
          <w:lang w:val="nl-NL"/>
        </w:rPr>
        <w:t>/201</w:t>
      </w:r>
      <w:r>
        <w:rPr>
          <w:rFonts w:ascii="Arial" w:hAnsi="Arial" w:cs="Arial"/>
          <w:sz w:val="24"/>
          <w:szCs w:val="24"/>
          <w:lang w:val="nl-NL"/>
        </w:rPr>
        <w:t>6</w:t>
      </w:r>
      <w:r w:rsidRPr="006B173A">
        <w:rPr>
          <w:rFonts w:ascii="Arial" w:hAnsi="Arial" w:cs="Arial"/>
          <w:sz w:val="24"/>
          <w:szCs w:val="24"/>
          <w:lang w:val="nl-NL"/>
        </w:rPr>
        <w:t xml:space="preserve"> kết thúc vào ngày 3</w:t>
      </w:r>
      <w:r>
        <w:rPr>
          <w:rFonts w:ascii="Arial" w:hAnsi="Arial" w:cs="Arial"/>
          <w:sz w:val="24"/>
          <w:szCs w:val="24"/>
          <w:lang w:val="nl-NL"/>
        </w:rPr>
        <w:t>1</w:t>
      </w:r>
      <w:r w:rsidRPr="006B173A">
        <w:rPr>
          <w:rFonts w:ascii="Arial" w:hAnsi="Arial" w:cs="Arial"/>
          <w:sz w:val="24"/>
          <w:szCs w:val="24"/>
          <w:lang w:val="nl-NL"/>
        </w:rPr>
        <w:t>/</w:t>
      </w:r>
      <w:r>
        <w:rPr>
          <w:rFonts w:ascii="Arial" w:hAnsi="Arial" w:cs="Arial"/>
          <w:sz w:val="24"/>
          <w:szCs w:val="24"/>
          <w:lang w:val="nl-NL"/>
        </w:rPr>
        <w:t>03</w:t>
      </w:r>
      <w:r w:rsidRPr="006B173A">
        <w:rPr>
          <w:rFonts w:ascii="Arial" w:hAnsi="Arial" w:cs="Arial"/>
          <w:sz w:val="24"/>
          <w:szCs w:val="24"/>
          <w:lang w:val="nl-NL"/>
        </w:rPr>
        <w:t>/201</w:t>
      </w:r>
      <w:r>
        <w:rPr>
          <w:rFonts w:ascii="Arial" w:hAnsi="Arial" w:cs="Arial"/>
          <w:sz w:val="24"/>
          <w:szCs w:val="24"/>
          <w:lang w:val="nl-NL"/>
        </w:rPr>
        <w:t>6</w:t>
      </w:r>
      <w:r w:rsidRPr="006B173A">
        <w:rPr>
          <w:rFonts w:ascii="Arial" w:hAnsi="Arial" w:cs="Arial"/>
          <w:sz w:val="24"/>
          <w:szCs w:val="24"/>
          <w:lang w:val="nl-NL"/>
        </w:rPr>
        <w:t>).</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2- Đơn vị tiền tệ sử dụng trong kế toán: đồng Việt Nam ( VND).</w:t>
      </w:r>
    </w:p>
    <w:p w:rsidR="002C1CEE" w:rsidRPr="006B173A" w:rsidRDefault="002C1CEE" w:rsidP="002C1CEE">
      <w:pPr>
        <w:jc w:val="both"/>
        <w:rPr>
          <w:rFonts w:ascii="Arial" w:hAnsi="Arial" w:cs="Arial"/>
          <w:b/>
          <w:sz w:val="24"/>
          <w:szCs w:val="24"/>
          <w:lang w:val="nl-NL"/>
        </w:rPr>
      </w:pPr>
      <w:r w:rsidRPr="006B173A">
        <w:rPr>
          <w:rFonts w:ascii="Arial" w:hAnsi="Arial" w:cs="Arial"/>
          <w:b/>
          <w:sz w:val="24"/>
          <w:szCs w:val="24"/>
          <w:lang w:val="nl-NL"/>
        </w:rPr>
        <w:t>III- Chuẩn mực và Chế độ kế toán áp dụng</w:t>
      </w:r>
    </w:p>
    <w:p w:rsidR="002C1CEE" w:rsidRPr="006B173A" w:rsidRDefault="002C1CEE" w:rsidP="002C1CEE">
      <w:pPr>
        <w:pStyle w:val="Level0"/>
        <w:tabs>
          <w:tab w:val="clear" w:pos="576"/>
          <w:tab w:val="clear" w:pos="1152"/>
          <w:tab w:val="clear" w:pos="1728"/>
          <w:tab w:val="clear" w:pos="2304"/>
        </w:tabs>
        <w:spacing w:before="0" w:line="240" w:lineRule="auto"/>
        <w:ind w:left="284" w:hanging="284"/>
        <w:jc w:val="both"/>
        <w:rPr>
          <w:rFonts w:ascii="Arial" w:eastAsiaTheme="minorHAnsi" w:hAnsi="Arial" w:cs="Arial"/>
          <w:sz w:val="24"/>
          <w:szCs w:val="24"/>
          <w:lang w:val="nl-NL"/>
        </w:rPr>
      </w:pPr>
      <w:r w:rsidRPr="006B173A">
        <w:rPr>
          <w:sz w:val="24"/>
          <w:szCs w:val="24"/>
          <w:lang w:val="es-MX"/>
        </w:rPr>
        <w:t xml:space="preserve">1. </w:t>
      </w:r>
      <w:r w:rsidRPr="006B173A">
        <w:rPr>
          <w:rFonts w:ascii="Arial" w:eastAsiaTheme="minorHAnsi" w:hAnsi="Arial" w:cs="Arial"/>
          <w:sz w:val="24"/>
          <w:szCs w:val="24"/>
          <w:lang w:val="nl-NL"/>
        </w:rPr>
        <w:t>Tuyên bố về việc tuân thủ Chuẩn mực kế toán và Chế độ kế toán: Báo cáo tài chính được trình bày bằng Đồng Việt Nam (VND), được lập dựa trên các nguyên tắc kế toán phù hợp với quy định của Chế độ kế toán doanh nghiệp Việt Nam ban hành theo Thông tư số 200/2014/TT-BTC ngày 22/12/2014 của Bộ Tài chính, chuẩn mực kế toán Việt Nam và các quy định pháp lý có liên quan đến việc lập và trình bày báo cáo tài chính.</w:t>
      </w:r>
    </w:p>
    <w:p w:rsidR="002C1CEE" w:rsidRPr="006B173A" w:rsidRDefault="002C1CEE" w:rsidP="002C1CEE">
      <w:pPr>
        <w:pStyle w:val="Level0"/>
        <w:tabs>
          <w:tab w:val="clear" w:pos="576"/>
          <w:tab w:val="clear" w:pos="1152"/>
          <w:tab w:val="clear" w:pos="1728"/>
          <w:tab w:val="clear" w:pos="2304"/>
        </w:tabs>
        <w:spacing w:before="0" w:line="240" w:lineRule="auto"/>
        <w:ind w:left="360" w:firstLine="0"/>
        <w:jc w:val="both"/>
        <w:rPr>
          <w:sz w:val="24"/>
          <w:szCs w:val="24"/>
          <w:lang w:val="es-MX"/>
        </w:rPr>
      </w:pP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2- Hình thức kế toán áp dụng: Chứng từ ghi sổ.</w:t>
      </w:r>
    </w:p>
    <w:p w:rsidR="002C1CEE" w:rsidRPr="006B173A" w:rsidRDefault="002C1CEE" w:rsidP="002C1CEE">
      <w:pPr>
        <w:jc w:val="both"/>
        <w:rPr>
          <w:rFonts w:ascii="Arial" w:hAnsi="Arial" w:cs="Arial"/>
          <w:b/>
          <w:sz w:val="24"/>
          <w:szCs w:val="24"/>
          <w:lang w:val="nl-NL"/>
        </w:rPr>
      </w:pPr>
      <w:r w:rsidRPr="006B173A">
        <w:rPr>
          <w:rFonts w:ascii="Arial" w:hAnsi="Arial" w:cs="Arial"/>
          <w:b/>
          <w:sz w:val="24"/>
          <w:szCs w:val="24"/>
          <w:lang w:val="nl-NL"/>
        </w:rPr>
        <w:t>IV- Các chính sách kế toán áp dụng</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1- Nguyên tắc ghi nhận các khoản tiền và các khoản tương đương tiền: phản ánh toàn bộ số tiền hiện có của Công ty bao gồm tiền mặt và tiền gửi ngân hàng. Các khoản tương đương tiền phản ánh các khoản đầu tư ngắn hạn có thời hạn thu hồi hoặc đáo hạn không quá 3 tháng và có khả năng chuyển đổi dễ dàng thành một lượng tiền xác định và không có rủi ro trong chuyển đổi thành tiền kể từ ngày mua khoản đầu tư đó đến thời điểm báo cáo và được ghi nhận theo chuẩn mực kế toán Việt Nam số 24 “ Báo cáo lưu chuyển tiền tệ”.</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t>Các nghiệp vụ kinh tế phát sinh bằng ngoại tệ được qui đổi sang VND theo tỉ giá thực tế tại ngày phát sinh.</w:t>
      </w:r>
    </w:p>
    <w:p w:rsidR="002C1CEE" w:rsidRPr="006B173A" w:rsidRDefault="002C1CEE" w:rsidP="002C1CEE">
      <w:pPr>
        <w:jc w:val="both"/>
        <w:rPr>
          <w:rFonts w:ascii="Arial" w:hAnsi="Arial" w:cs="Arial"/>
          <w:sz w:val="24"/>
          <w:szCs w:val="24"/>
          <w:lang w:val="nl-NL"/>
        </w:rPr>
      </w:pPr>
      <w:r w:rsidRPr="006B173A">
        <w:rPr>
          <w:rFonts w:ascii="Arial" w:hAnsi="Arial" w:cs="Arial"/>
          <w:sz w:val="24"/>
          <w:szCs w:val="24"/>
          <w:lang w:val="nl-NL"/>
        </w:rPr>
        <w:lastRenderedPageBreak/>
        <w:t>2- Nguyên tắc ghi nhận hàng tồn kho:</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Nguyên tắc ghi nhận hàng tồn kho: theo giá gốc</w:t>
      </w:r>
    </w:p>
    <w:p w:rsidR="002C1CEE" w:rsidRPr="006B173A" w:rsidRDefault="002C1CEE" w:rsidP="002C1CEE">
      <w:pPr>
        <w:spacing w:line="0" w:lineRule="atLeast"/>
        <w:ind w:left="880" w:hanging="160"/>
        <w:jc w:val="both"/>
        <w:rPr>
          <w:rFonts w:ascii="Arial" w:hAnsi="Arial" w:cs="Arial"/>
          <w:sz w:val="24"/>
          <w:szCs w:val="24"/>
          <w:lang w:val="nl-NL"/>
        </w:rPr>
      </w:pPr>
      <w:r w:rsidRPr="006B173A">
        <w:rPr>
          <w:rFonts w:ascii="Arial" w:hAnsi="Arial" w:cs="Arial"/>
          <w:sz w:val="24"/>
          <w:szCs w:val="24"/>
          <w:lang w:val="nl-NL"/>
        </w:rPr>
        <w:t>- Phương pháp tính giá trị hàng tồn kho: bình quân gia quyền</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Phương pháp hạch toán hàng tồn kho: kê khai thường xuyên.</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3- Nguyên tắc ghi nhận và khấu hao TSCĐ và bất động sản đầu tư:</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Nguyên tắc ghi nhận TSCĐ (hữu hình, vô hình): Tài sản cố định hữu hình và vô hình được trình bày theo nguyên giá trừ giá trị hao mòn.</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Nguyên giá TSCĐ hữu hình hình thành từ mua sắm và xây dựng chuyển giao là toàn bộ chi phí mà Công ty phải bỏ ra để có TSCĐ tính đến thời điểm đưa tài sản đó vào trạng thái sẵn sàng sử dụng.</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Phương pháp khấu hao TSCĐ (hữu hình, vô hình): tài sản cố định được khấu hao theo phương pháp đường thẳng, dựa trên thời gian hữu dụng ước tính, phù hợp với các qui định tại thông tư số 45/2013/TT-BTC ngày 25/4/2013 của Bộ trưởng Bộ tài chính.Cụ thể như sau:</w:t>
      </w:r>
    </w:p>
    <w:p w:rsidR="002C1CEE" w:rsidRPr="006B173A" w:rsidRDefault="002C1CEE" w:rsidP="002C1CEE">
      <w:pPr>
        <w:spacing w:line="0" w:lineRule="atLeast"/>
        <w:ind w:firstLine="720"/>
        <w:jc w:val="both"/>
        <w:rPr>
          <w:rFonts w:ascii="Arial" w:hAnsi="Arial" w:cs="Arial"/>
          <w:sz w:val="24"/>
          <w:szCs w:val="24"/>
          <w:lang w:val="nl-NL"/>
        </w:rPr>
      </w:pP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xml:space="preserve">    Loại tài sản                            Số năm khấu hao</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Nhà cửa, vật kiến trúc                           05 – 15</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Máy móc thiết bị                                    03 – 15</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Phương tiện vận tải                               06 – 15</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Dụng cụ quản lý                                    03 - 07</w:t>
      </w:r>
    </w:p>
    <w:p w:rsidR="002C1CEE" w:rsidRPr="006B173A" w:rsidRDefault="002C1CEE" w:rsidP="002C1CEE">
      <w:pPr>
        <w:spacing w:line="0" w:lineRule="atLeast"/>
        <w:ind w:firstLine="720"/>
        <w:jc w:val="both"/>
        <w:rPr>
          <w:rFonts w:ascii="Arial" w:hAnsi="Arial" w:cs="Arial"/>
          <w:sz w:val="24"/>
          <w:szCs w:val="24"/>
          <w:lang w:val="nl-NL"/>
        </w:rPr>
      </w:pP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4- Nguyên tắc ghi nhận các khoản đầu tư tài chính:</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Các khoản đầu tư chứng khoán ngắn hạn khác: là khoản đầu tư chứng chỉ quĩ trái phiếu Công ty CP quản lý quỹ đầu tư MB</w:t>
      </w:r>
      <w:r>
        <w:rPr>
          <w:rFonts w:ascii="Arial" w:hAnsi="Arial" w:cs="Arial"/>
          <w:sz w:val="24"/>
          <w:szCs w:val="24"/>
          <w:lang w:val="nl-NL"/>
        </w:rPr>
        <w:t xml:space="preserve"> v</w:t>
      </w:r>
      <w:r w:rsidRPr="00F85A09">
        <w:rPr>
          <w:rFonts w:ascii="Arial" w:hAnsi="Arial" w:cs="Arial"/>
          <w:sz w:val="24"/>
          <w:szCs w:val="24"/>
          <w:lang w:val="nl-NL"/>
        </w:rPr>
        <w:t>à</w:t>
      </w:r>
      <w:r>
        <w:rPr>
          <w:rFonts w:ascii="Arial" w:hAnsi="Arial" w:cs="Arial"/>
          <w:sz w:val="24"/>
          <w:szCs w:val="24"/>
          <w:lang w:val="nl-NL"/>
        </w:rPr>
        <w:t xml:space="preserve"> đ</w:t>
      </w:r>
      <w:r w:rsidRPr="00F85A09">
        <w:rPr>
          <w:rFonts w:ascii="Arial" w:hAnsi="Arial" w:cs="Arial"/>
          <w:sz w:val="24"/>
          <w:szCs w:val="24"/>
          <w:lang w:val="nl-NL"/>
        </w:rPr>
        <w:t>ầu</w:t>
      </w:r>
      <w:r>
        <w:rPr>
          <w:rFonts w:ascii="Arial" w:hAnsi="Arial" w:cs="Arial"/>
          <w:sz w:val="24"/>
          <w:szCs w:val="24"/>
          <w:lang w:val="nl-NL"/>
        </w:rPr>
        <w:t xml:space="preserve"> t</w:t>
      </w:r>
      <w:r w:rsidRPr="00F85A09">
        <w:rPr>
          <w:rFonts w:ascii="Arial" w:hAnsi="Arial" w:cs="Arial"/>
          <w:sz w:val="24"/>
          <w:szCs w:val="24"/>
          <w:lang w:val="nl-NL"/>
        </w:rPr>
        <w:t>ư</w:t>
      </w:r>
      <w:r>
        <w:rPr>
          <w:rFonts w:ascii="Arial" w:hAnsi="Arial" w:cs="Arial"/>
          <w:sz w:val="24"/>
          <w:szCs w:val="24"/>
          <w:lang w:val="nl-NL"/>
        </w:rPr>
        <w:t xml:space="preserve"> ch</w:t>
      </w:r>
      <w:r w:rsidRPr="00F85A09">
        <w:rPr>
          <w:rFonts w:ascii="Arial" w:hAnsi="Arial" w:cs="Arial"/>
          <w:sz w:val="24"/>
          <w:szCs w:val="24"/>
          <w:lang w:val="nl-NL"/>
        </w:rPr>
        <w:t>ứng</w:t>
      </w:r>
      <w:r>
        <w:rPr>
          <w:rFonts w:ascii="Arial" w:hAnsi="Arial" w:cs="Arial"/>
          <w:sz w:val="24"/>
          <w:szCs w:val="24"/>
          <w:lang w:val="nl-NL"/>
        </w:rPr>
        <w:t xml:space="preserve"> kh</w:t>
      </w:r>
      <w:r w:rsidRPr="00F85A09">
        <w:rPr>
          <w:rFonts w:ascii="Arial" w:hAnsi="Arial" w:cs="Arial"/>
          <w:sz w:val="24"/>
          <w:szCs w:val="24"/>
          <w:lang w:val="nl-NL"/>
        </w:rPr>
        <w:t>oán</w:t>
      </w:r>
      <w:r>
        <w:rPr>
          <w:rFonts w:ascii="Arial" w:hAnsi="Arial" w:cs="Arial"/>
          <w:sz w:val="24"/>
          <w:szCs w:val="24"/>
          <w:lang w:val="nl-NL"/>
        </w:rPr>
        <w:t xml:space="preserve"> C</w:t>
      </w:r>
      <w:r w:rsidRPr="00F85A09">
        <w:rPr>
          <w:rFonts w:ascii="Arial" w:hAnsi="Arial" w:cs="Arial"/>
          <w:sz w:val="24"/>
          <w:szCs w:val="24"/>
          <w:lang w:val="nl-NL"/>
        </w:rPr>
        <w:t>ô</w:t>
      </w:r>
      <w:r>
        <w:rPr>
          <w:rFonts w:ascii="Arial" w:hAnsi="Arial" w:cs="Arial"/>
          <w:sz w:val="24"/>
          <w:szCs w:val="24"/>
          <w:lang w:val="nl-NL"/>
        </w:rPr>
        <w:t>ng CP v</w:t>
      </w:r>
      <w:r w:rsidRPr="00F85A09">
        <w:rPr>
          <w:rFonts w:ascii="Arial" w:hAnsi="Arial" w:cs="Arial"/>
          <w:sz w:val="24"/>
          <w:szCs w:val="24"/>
          <w:lang w:val="nl-NL"/>
        </w:rPr>
        <w:t>ận</w:t>
      </w:r>
      <w:r>
        <w:rPr>
          <w:rFonts w:ascii="Arial" w:hAnsi="Arial" w:cs="Arial"/>
          <w:sz w:val="24"/>
          <w:szCs w:val="24"/>
          <w:lang w:val="nl-NL"/>
        </w:rPr>
        <w:t xml:space="preserve"> t</w:t>
      </w:r>
      <w:r w:rsidRPr="00F85A09">
        <w:rPr>
          <w:rFonts w:ascii="Arial" w:hAnsi="Arial" w:cs="Arial"/>
          <w:sz w:val="24"/>
          <w:szCs w:val="24"/>
          <w:lang w:val="nl-NL"/>
        </w:rPr>
        <w:t>ải</w:t>
      </w:r>
      <w:r>
        <w:rPr>
          <w:rFonts w:ascii="Arial" w:hAnsi="Arial" w:cs="Arial"/>
          <w:sz w:val="24"/>
          <w:szCs w:val="24"/>
          <w:lang w:val="nl-NL"/>
        </w:rPr>
        <w:t xml:space="preserve"> </w:t>
      </w:r>
      <w:r w:rsidRPr="00F85A09">
        <w:rPr>
          <w:rFonts w:ascii="Arial" w:hAnsi="Arial" w:cs="Arial"/>
          <w:sz w:val="24"/>
          <w:szCs w:val="24"/>
          <w:lang w:val="nl-NL"/>
        </w:rPr>
        <w:t>Đ</w:t>
      </w:r>
      <w:r>
        <w:rPr>
          <w:rFonts w:ascii="Arial" w:hAnsi="Arial" w:cs="Arial"/>
          <w:sz w:val="24"/>
          <w:szCs w:val="24"/>
          <w:lang w:val="nl-NL"/>
        </w:rPr>
        <w:t>a ph</w:t>
      </w:r>
      <w:r w:rsidRPr="00F85A09">
        <w:rPr>
          <w:rFonts w:ascii="Arial" w:hAnsi="Arial" w:cs="Arial"/>
          <w:sz w:val="24"/>
          <w:szCs w:val="24"/>
          <w:lang w:val="nl-NL"/>
        </w:rPr>
        <w:t>ươ</w:t>
      </w:r>
      <w:r>
        <w:rPr>
          <w:rFonts w:ascii="Arial" w:hAnsi="Arial" w:cs="Arial"/>
          <w:sz w:val="24"/>
          <w:szCs w:val="24"/>
          <w:lang w:val="nl-NL"/>
        </w:rPr>
        <w:t>ng th</w:t>
      </w:r>
      <w:r w:rsidRPr="00F85A09">
        <w:rPr>
          <w:rFonts w:ascii="Arial" w:hAnsi="Arial" w:cs="Arial"/>
          <w:sz w:val="24"/>
          <w:szCs w:val="24"/>
          <w:lang w:val="nl-NL"/>
        </w:rPr>
        <w:t>ức</w:t>
      </w:r>
    </w:p>
    <w:p w:rsidR="002C1CEE" w:rsidRPr="006B173A" w:rsidRDefault="002C1CEE" w:rsidP="002C1CEE">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4"/>
          <w:szCs w:val="24"/>
          <w:lang w:val="nl-NL"/>
        </w:rPr>
      </w:pPr>
      <w:r w:rsidRPr="006B173A">
        <w:rPr>
          <w:rFonts w:ascii="Arial" w:hAnsi="Arial" w:cs="Arial"/>
          <w:sz w:val="24"/>
          <w:szCs w:val="24"/>
          <w:lang w:val="nl-NL"/>
        </w:rPr>
        <w:t xml:space="preserve">   - Các khoản đầu tư dài hạn khác: Đầu tư dài hạn khác bao gồm các khoản góp vốn vào Công ty Cổ phần Hải Minh, Công ty Cổ phần Vận tải và Xếp dỡ Hải An, Công ty Cổ phần Hàng Hải Nam Dương, Công ty TNHH Dịch vụ Container Maserco, Công ty CP thực phẩm Vijais.</w:t>
      </w:r>
    </w:p>
    <w:p w:rsidR="002C1CEE" w:rsidRPr="006B173A" w:rsidRDefault="002C1CEE" w:rsidP="002C1CEE">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4"/>
          <w:szCs w:val="24"/>
          <w:lang w:val="nl-NL"/>
        </w:rPr>
      </w:pPr>
      <w:r w:rsidRPr="006B173A">
        <w:rPr>
          <w:rFonts w:ascii="Arial" w:hAnsi="Arial" w:cs="Arial"/>
          <w:sz w:val="24"/>
          <w:szCs w:val="24"/>
          <w:lang w:val="nl-NL"/>
        </w:rPr>
        <w:t xml:space="preserve">  - Phương pháp lập dự phòng giảm giá đầu tư ngắn hạn, dài hạn: là số chênh lệch giữa giá gốc của khoản đầu tư phần sở hữu tính theo sổ kế toán của bên nhận đầu tư được trích lập theo quy định tại Thông tư số 228/2009/TT-BTC ngày 07/12/2009 và Thông tư số 89/2013/TT-BTC ngày 28/6/2013 của Bộ Tài chính.</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5- Nguyên tắc ghi nhận và vốn hóa các khoản chi phí đi vay:</w:t>
      </w:r>
    </w:p>
    <w:p w:rsidR="002C1CEE" w:rsidRPr="006B173A" w:rsidRDefault="002C1CEE" w:rsidP="002C1CEE">
      <w:pPr>
        <w:spacing w:line="0" w:lineRule="atLeast"/>
        <w:ind w:firstLine="720"/>
        <w:jc w:val="both"/>
        <w:rPr>
          <w:rFonts w:ascii="Arial" w:hAnsi="Arial" w:cs="Arial"/>
          <w:sz w:val="24"/>
          <w:szCs w:val="24"/>
          <w:lang w:val="nl-NL"/>
        </w:rPr>
      </w:pPr>
      <w:r w:rsidRPr="006B173A">
        <w:rPr>
          <w:rFonts w:ascii="Arial" w:hAnsi="Arial" w:cs="Arial"/>
          <w:sz w:val="24"/>
          <w:szCs w:val="24"/>
          <w:lang w:val="nl-NL"/>
        </w:rPr>
        <w:t>- Nguyên tắc ghi nhận chi phí đi vay:Chi phí lãi vay được ghi nhận vào chi phí sản xuất, kinh doanh trong kỳ khi phát sinh</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6- Nguyên tắc ghi nhận và vốn hóa các khoản chi phí khác:</w:t>
      </w:r>
    </w:p>
    <w:p w:rsidR="002C1CEE" w:rsidRPr="006B173A" w:rsidRDefault="002C1CEE" w:rsidP="002C1CEE">
      <w:pPr>
        <w:pStyle w:val="Header"/>
        <w:tabs>
          <w:tab w:val="left" w:pos="357"/>
        </w:tabs>
        <w:ind w:left="357"/>
        <w:jc w:val="both"/>
        <w:rPr>
          <w:rFonts w:ascii="Arial" w:eastAsiaTheme="minorHAnsi" w:hAnsi="Arial" w:cs="Arial"/>
          <w:kern w:val="0"/>
          <w:sz w:val="24"/>
          <w:szCs w:val="24"/>
          <w:lang w:val="nl-NL" w:eastAsia="en-US"/>
        </w:rPr>
      </w:pPr>
      <w:r w:rsidRPr="006B173A">
        <w:rPr>
          <w:rFonts w:ascii="Arial" w:eastAsiaTheme="minorHAnsi" w:hAnsi="Arial" w:cs="Arial"/>
          <w:kern w:val="0"/>
          <w:sz w:val="24"/>
          <w:szCs w:val="24"/>
          <w:lang w:val="nl-NL" w:eastAsia="en-US"/>
        </w:rPr>
        <w:lastRenderedPageBreak/>
        <w:t>Chi phí trả trước ngắn hạn là giá trị công cụ, dụng cụ được phân bổ dần vào kết quả hoạt động kinh doanh theo thời gian sử dụng ước tính dưới 12 tháng, kể từ tháng đưa vào sử dụng.</w:t>
      </w:r>
    </w:p>
    <w:p w:rsidR="002C1CEE" w:rsidRPr="006B173A" w:rsidRDefault="002C1CEE" w:rsidP="002C1CEE">
      <w:pPr>
        <w:pStyle w:val="Header"/>
        <w:tabs>
          <w:tab w:val="left" w:pos="357"/>
        </w:tabs>
        <w:ind w:left="360"/>
        <w:jc w:val="both"/>
        <w:rPr>
          <w:rFonts w:ascii="Arial" w:eastAsiaTheme="minorHAnsi" w:hAnsi="Arial" w:cs="Arial"/>
          <w:kern w:val="0"/>
          <w:sz w:val="24"/>
          <w:szCs w:val="24"/>
          <w:lang w:val="nl-NL" w:eastAsia="en-US"/>
        </w:rPr>
      </w:pPr>
      <w:r w:rsidRPr="006B173A">
        <w:rPr>
          <w:rFonts w:ascii="Arial" w:eastAsiaTheme="minorHAnsi" w:hAnsi="Arial" w:cs="Arial"/>
          <w:kern w:val="0"/>
          <w:sz w:val="24"/>
          <w:szCs w:val="24"/>
          <w:lang w:val="nl-NL" w:eastAsia="en-US"/>
        </w:rPr>
        <w:t>Chi phí trả trước dài hạn là giá trị công cụ, dụng cụ được phân bổ dần vào kết quả hoạt động kinh doanh theo thời gian sử dụng ước tính từ 12 tháng đến 36 tháng, kể từ tháng đưa vào sử dụng. Riêng các công cụ dụng cụ là giá trị còn lại của các tài sản có nguyên giá không đủ tiêu chuẩn ghi nhận tài sản cố định theo quy định tại Thông tư số 45/2013/TT-BTC ngày 25/4/2013 của Bộ Tài chính và Quyết định số 1173/QĐ-BTC ngày 21/5/2013 của Bộ trưởng Bộ Tài chính, được phân bổ dần vào kết quả hoạt động kinh doanh theo phương pháp đường thẳng trong 36 tháng, kể từ tháng 6 năm 2013.</w:t>
      </w:r>
    </w:p>
    <w:p w:rsidR="002C1CEE" w:rsidRPr="006B173A" w:rsidRDefault="002C1CEE" w:rsidP="002C1CEE">
      <w:pPr>
        <w:tabs>
          <w:tab w:val="left" w:pos="0"/>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142"/>
        <w:jc w:val="both"/>
        <w:rPr>
          <w:rFonts w:ascii="Arial" w:hAnsi="Arial" w:cs="Arial"/>
          <w:sz w:val="24"/>
          <w:szCs w:val="24"/>
          <w:lang w:val="nl-NL"/>
        </w:rPr>
      </w:pPr>
      <w:r w:rsidRPr="006B173A">
        <w:rPr>
          <w:rFonts w:ascii="Arial" w:hAnsi="Arial" w:cs="Arial"/>
          <w:sz w:val="24"/>
          <w:szCs w:val="24"/>
          <w:lang w:val="nl-NL"/>
        </w:rPr>
        <w:t>7- Nguyên tắc ghi nhận chi phí phải trả.</w:t>
      </w:r>
    </w:p>
    <w:p w:rsidR="002C1CEE" w:rsidRPr="006B173A" w:rsidRDefault="002C1CEE" w:rsidP="002C1CEE">
      <w:pPr>
        <w:tabs>
          <w:tab w:val="left" w:pos="357"/>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380"/>
        <w:jc w:val="both"/>
        <w:rPr>
          <w:rFonts w:ascii="Arial" w:hAnsi="Arial" w:cs="Arial"/>
          <w:sz w:val="24"/>
          <w:szCs w:val="24"/>
          <w:lang w:val="nl-NL"/>
        </w:rPr>
      </w:pPr>
      <w:r w:rsidRPr="006B173A">
        <w:rPr>
          <w:rFonts w:ascii="Arial" w:hAnsi="Arial" w:cs="Arial"/>
          <w:sz w:val="24"/>
          <w:szCs w:val="24"/>
          <w:lang w:val="nl-NL"/>
        </w:rPr>
        <w:t>Chi phí phải trả được ghi nhận dựa trên các ước tính hợp lý về số tiền phải trả cho các hàng hoá, dịch vụ đã sử dụng trong kỳ. Chi phí phải trả bao gồm các khoản chi phí lãi vay phải trả và một số chi phí phải trả khác.</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8- Nguyên tắc ghi nhận vốn chủ sở hữu:</w:t>
      </w:r>
    </w:p>
    <w:p w:rsidR="002C1CEE" w:rsidRPr="006B173A" w:rsidRDefault="002C1CEE" w:rsidP="002C1CEE">
      <w:pPr>
        <w:spacing w:line="0" w:lineRule="atLeast"/>
        <w:ind w:left="426" w:firstLine="114"/>
        <w:jc w:val="both"/>
        <w:rPr>
          <w:rFonts w:ascii="Arial" w:hAnsi="Arial" w:cs="Arial"/>
          <w:sz w:val="24"/>
          <w:szCs w:val="24"/>
          <w:lang w:val="nl-NL"/>
        </w:rPr>
      </w:pPr>
      <w:r w:rsidRPr="006B173A">
        <w:rPr>
          <w:rFonts w:ascii="Arial" w:hAnsi="Arial" w:cs="Arial"/>
          <w:sz w:val="24"/>
          <w:szCs w:val="24"/>
          <w:lang w:val="nl-NL"/>
        </w:rPr>
        <w:t xml:space="preserve"> - Nguyên tắc ghi nhận vốn đầu tư của chủ sở hữu: bao gồm vốn góp của các cổ đông, được ghi nhận theo số vốn thực góp của các cổ đông góp cổ phần, tính theo mệnh giá đã phát hành.</w:t>
      </w:r>
    </w:p>
    <w:p w:rsidR="002C1CEE" w:rsidRPr="006B173A" w:rsidRDefault="002C1CEE" w:rsidP="002C1CEE">
      <w:pPr>
        <w:spacing w:line="0" w:lineRule="atLeast"/>
        <w:ind w:left="426" w:hanging="180"/>
        <w:jc w:val="both"/>
        <w:rPr>
          <w:rFonts w:ascii="Arial" w:hAnsi="Arial" w:cs="Arial"/>
          <w:sz w:val="24"/>
          <w:szCs w:val="24"/>
          <w:lang w:val="nl-NL"/>
        </w:rPr>
      </w:pPr>
      <w:r w:rsidRPr="006B173A">
        <w:rPr>
          <w:rFonts w:ascii="Arial" w:hAnsi="Arial" w:cs="Arial"/>
          <w:sz w:val="24"/>
          <w:szCs w:val="24"/>
          <w:lang w:val="nl-NL"/>
        </w:rPr>
        <w:t xml:space="preserve">    - Nguyên tắc ghi nhận lợi nhuận sau thuế chưa phân phối: là số lãi từ các hoạt động của Công ty đến thời điểm 3</w:t>
      </w:r>
      <w:r>
        <w:rPr>
          <w:rFonts w:ascii="Arial" w:hAnsi="Arial" w:cs="Arial"/>
          <w:sz w:val="24"/>
          <w:szCs w:val="24"/>
          <w:lang w:val="nl-NL"/>
        </w:rPr>
        <w:t>1/03</w:t>
      </w:r>
      <w:r w:rsidRPr="006B173A">
        <w:rPr>
          <w:rFonts w:ascii="Arial" w:hAnsi="Arial" w:cs="Arial"/>
          <w:sz w:val="24"/>
          <w:szCs w:val="24"/>
          <w:lang w:val="nl-NL"/>
        </w:rPr>
        <w:t>/201</w:t>
      </w:r>
      <w:r>
        <w:rPr>
          <w:rFonts w:ascii="Arial" w:hAnsi="Arial" w:cs="Arial"/>
          <w:sz w:val="24"/>
          <w:szCs w:val="24"/>
          <w:lang w:val="nl-NL"/>
        </w:rPr>
        <w:t>6</w:t>
      </w:r>
      <w:r w:rsidRPr="006B173A">
        <w:rPr>
          <w:rFonts w:ascii="Arial" w:hAnsi="Arial" w:cs="Arial"/>
          <w:sz w:val="24"/>
          <w:szCs w:val="24"/>
          <w:lang w:val="nl-NL"/>
        </w:rPr>
        <w:t>.</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9- Nguyên tắc và phương pháp ghi nhận doanh thu:</w:t>
      </w:r>
    </w:p>
    <w:p w:rsidR="002C1CEE" w:rsidRPr="006B173A" w:rsidRDefault="002C1CEE" w:rsidP="002C1CEE">
      <w:pPr>
        <w:spacing w:line="0" w:lineRule="atLeast"/>
        <w:ind w:left="284"/>
        <w:jc w:val="both"/>
        <w:rPr>
          <w:rFonts w:ascii="Arial" w:hAnsi="Arial" w:cs="Arial"/>
          <w:sz w:val="24"/>
          <w:szCs w:val="24"/>
          <w:lang w:val="nl-NL"/>
        </w:rPr>
      </w:pPr>
      <w:r w:rsidRPr="006B173A">
        <w:rPr>
          <w:rFonts w:ascii="Arial" w:hAnsi="Arial" w:cs="Arial"/>
          <w:sz w:val="24"/>
          <w:szCs w:val="24"/>
          <w:lang w:val="nl-NL"/>
        </w:rPr>
        <w:t xml:space="preserve">   - Doanh thu bán hàng hóa: được ghi nhận khi quyền sở hữu hàng hóa được chuyển sang người mua. </w:t>
      </w:r>
    </w:p>
    <w:p w:rsidR="002C1CEE" w:rsidRPr="006B173A" w:rsidRDefault="002C1CEE" w:rsidP="002C1CEE">
      <w:pPr>
        <w:spacing w:line="0" w:lineRule="atLeast"/>
        <w:ind w:left="284" w:firstLine="256"/>
        <w:jc w:val="both"/>
        <w:rPr>
          <w:rFonts w:ascii="Arial" w:hAnsi="Arial" w:cs="Arial"/>
          <w:sz w:val="24"/>
          <w:szCs w:val="24"/>
          <w:lang w:val="nl-NL"/>
        </w:rPr>
      </w:pPr>
      <w:r w:rsidRPr="006B173A">
        <w:rPr>
          <w:rFonts w:ascii="Arial" w:hAnsi="Arial" w:cs="Arial"/>
          <w:sz w:val="24"/>
          <w:szCs w:val="24"/>
          <w:lang w:val="nl-NL"/>
        </w:rPr>
        <w:t>- Doanh thu cung cấp dịch vụ: được ghi nhận khi hoàn thành dịch vụ cung cấp cho khách hàng và được khách hàng chấp nhận thanh toán</w:t>
      </w:r>
    </w:p>
    <w:p w:rsidR="002C1CEE" w:rsidRPr="006B173A" w:rsidRDefault="002C1CEE" w:rsidP="002C1CEE">
      <w:pPr>
        <w:tabs>
          <w:tab w:val="left" w:pos="284"/>
          <w:tab w:val="left" w:pos="630"/>
          <w:tab w:val="left" w:pos="1440"/>
          <w:tab w:val="left" w:pos="2268"/>
          <w:tab w:val="left" w:pos="2880"/>
          <w:tab w:val="left" w:pos="3600"/>
          <w:tab w:val="left" w:pos="4320"/>
          <w:tab w:val="left" w:pos="5040"/>
          <w:tab w:val="left" w:pos="5760"/>
          <w:tab w:val="left" w:pos="6480"/>
          <w:tab w:val="left" w:pos="7200"/>
          <w:tab w:val="left" w:pos="7920"/>
          <w:tab w:val="left" w:pos="8647"/>
        </w:tabs>
        <w:suppressAutoHyphens/>
        <w:ind w:left="142" w:hanging="96"/>
        <w:jc w:val="both"/>
        <w:rPr>
          <w:rFonts w:ascii="Arial" w:hAnsi="Arial" w:cs="Arial"/>
          <w:sz w:val="24"/>
          <w:szCs w:val="24"/>
          <w:lang w:val="nl-NL"/>
        </w:rPr>
      </w:pPr>
      <w:r w:rsidRPr="006B173A">
        <w:rPr>
          <w:rFonts w:ascii="Arial" w:hAnsi="Arial" w:cs="Arial"/>
          <w:sz w:val="24"/>
          <w:szCs w:val="24"/>
          <w:lang w:val="nl-NL"/>
        </w:rPr>
        <w:t xml:space="preserve">       - Doanh thu hoạt động tài chính:bao gồm doanh thu phát sinh từ lãi tiền gửi, tiền cho vay, cổ tức, lợi nhuận được chia và chênh lệch tỷ giá.</w:t>
      </w:r>
    </w:p>
    <w:p w:rsidR="002C1CEE" w:rsidRPr="006B173A" w:rsidRDefault="002C1CEE" w:rsidP="002C1CEE">
      <w:pPr>
        <w:spacing w:line="0" w:lineRule="atLeast"/>
        <w:jc w:val="both"/>
        <w:rPr>
          <w:rFonts w:ascii="Arial" w:hAnsi="Arial" w:cs="Arial"/>
          <w:sz w:val="24"/>
          <w:szCs w:val="24"/>
          <w:lang w:val="nl-NL"/>
        </w:rPr>
      </w:pPr>
      <w:r w:rsidRPr="006B173A">
        <w:rPr>
          <w:rFonts w:ascii="Arial" w:hAnsi="Arial" w:cs="Arial"/>
          <w:sz w:val="24"/>
          <w:szCs w:val="24"/>
          <w:lang w:val="nl-NL"/>
        </w:rPr>
        <w:t>10. Nguyên tắc và phương pháp ghi nhận chi phí tài chính: là lãi tiền vay được ghi nhận theo thực tế phát sinh trên cơ sở số tiền vay và lãi suất vay từng kỳ thực tế.</w:t>
      </w:r>
    </w:p>
    <w:p w:rsidR="002C1CEE" w:rsidRPr="006B173A" w:rsidRDefault="002C1CEE" w:rsidP="002C1CEE">
      <w:pPr>
        <w:spacing w:line="0" w:lineRule="atLeast"/>
        <w:ind w:left="360" w:hanging="360"/>
        <w:jc w:val="both"/>
        <w:rPr>
          <w:rFonts w:ascii="Arial" w:hAnsi="Arial" w:cs="Arial"/>
          <w:sz w:val="24"/>
          <w:szCs w:val="24"/>
          <w:lang w:val="nl-NL"/>
        </w:rPr>
      </w:pPr>
      <w:r w:rsidRPr="006B173A">
        <w:rPr>
          <w:rFonts w:ascii="Arial" w:hAnsi="Arial" w:cs="Arial"/>
          <w:sz w:val="24"/>
          <w:szCs w:val="24"/>
          <w:lang w:val="nl-NL"/>
        </w:rPr>
        <w:t>11. Nguyên tắc và phương pháp ghi nhận chi phí thuế thu nhập doanh nghiệp hiện hành: được xác định trên cơ sở thu nhập chịu thuế và thuế suất thuế TNDN. Thuế suất thuế TNDN áp dụng là 22%.</w:t>
      </w:r>
    </w:p>
    <w:p w:rsidR="002C1CEE" w:rsidRPr="006B173A" w:rsidRDefault="002C1CEE" w:rsidP="002C1CEE">
      <w:pPr>
        <w:spacing w:line="0" w:lineRule="atLeast"/>
        <w:ind w:left="360" w:hanging="360"/>
        <w:jc w:val="both"/>
        <w:rPr>
          <w:rFonts w:ascii="Arial" w:hAnsi="Arial" w:cs="Arial"/>
          <w:sz w:val="26"/>
          <w:szCs w:val="26"/>
          <w:lang w:val="nl-NL"/>
        </w:rPr>
      </w:pPr>
    </w:p>
    <w:p w:rsidR="002C1CEE" w:rsidRPr="006B173A" w:rsidRDefault="002C1CEE" w:rsidP="002C1CEE">
      <w:pPr>
        <w:spacing w:line="0" w:lineRule="atLeast"/>
        <w:ind w:left="360" w:hanging="360"/>
        <w:jc w:val="both"/>
        <w:rPr>
          <w:rFonts w:ascii="Arial" w:hAnsi="Arial" w:cs="Arial"/>
          <w:sz w:val="26"/>
          <w:szCs w:val="26"/>
          <w:lang w:val="nl-NL"/>
        </w:rPr>
      </w:pPr>
    </w:p>
    <w:tbl>
      <w:tblPr>
        <w:tblW w:w="10454" w:type="dxa"/>
        <w:tblInd w:w="-176" w:type="dxa"/>
        <w:tblLook w:val="04A0"/>
      </w:tblPr>
      <w:tblGrid>
        <w:gridCol w:w="326"/>
        <w:gridCol w:w="4416"/>
        <w:gridCol w:w="2000"/>
        <w:gridCol w:w="976"/>
        <w:gridCol w:w="2736"/>
      </w:tblGrid>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w:t>
            </w:r>
          </w:p>
        </w:tc>
        <w:tc>
          <w:tcPr>
            <w:tcW w:w="6416" w:type="dxa"/>
            <w:gridSpan w:val="2"/>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TIỀN VÀ CÁC KHOẢN TƯƠNG ĐƯƠNG TIỀN</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Tiền mặt</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xml:space="preserve">  409 173 619</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xml:space="preserve">  204 264 052</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Tiền gửi ngân hàng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xml:space="preserve"> 12 002 720 702</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xml:space="preserve"> 45 046 288 043</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Các khoản tương đương tiền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sz w:val="20"/>
                <w:szCs w:val="20"/>
              </w:rPr>
            </w:pPr>
            <w:r w:rsidRPr="003858D2">
              <w:rPr>
                <w:rFonts w:ascii=".VnArial" w:eastAsia="Times New Roman" w:hAnsi=".VnArial" w:cs="Times New Roman"/>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sz w:val="22"/>
              </w:rPr>
            </w:pPr>
            <w:r w:rsidRPr="003858D2">
              <w:rPr>
                <w:rFonts w:eastAsia="Times New Roman" w:cs="Times New Roman"/>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sz w:val="20"/>
                <w:szCs w:val="20"/>
              </w:rPr>
            </w:pPr>
            <w:r w:rsidRPr="003858D2">
              <w:rPr>
                <w:rFonts w:ascii=".VnArial" w:eastAsia="Times New Roman" w:hAnsi=".VnArial" w:cs="Times New Roman"/>
                <w:sz w:val="20"/>
                <w:szCs w:val="20"/>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lastRenderedPageBreak/>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12,411,894,321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45,250,552,095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sz w:val="22"/>
              </w:rPr>
            </w:pPr>
            <w:r w:rsidRPr="003858D2">
              <w:rPr>
                <w:rFonts w:eastAsia="Times New Roman" w:cs="Times New Roman"/>
                <w:i/>
                <w:i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sz w:val="22"/>
              </w:rPr>
            </w:pPr>
            <w:r w:rsidRPr="003858D2">
              <w:rPr>
                <w:rFonts w:eastAsia="Times New Roman" w:cs="Times New Roman"/>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2</w:t>
            </w:r>
          </w:p>
        </w:tc>
        <w:tc>
          <w:tcPr>
            <w:tcW w:w="6416" w:type="dxa"/>
            <w:gridSpan w:val="2"/>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CÁC KHOẢN ĐẦU TƯ TÀI CHÍNH NGẮN HẠN</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Tiền gửi có kỳ hạn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Chứng khoán đầu tư ngắn hạn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17,822,694,000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Chứng chỉ quĩ Cty CP quản lý quỹ đầu tư MB</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500,000,000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500,000,000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sz w:val="22"/>
              </w:rPr>
            </w:pPr>
            <w:r w:rsidRPr="003858D2">
              <w:rPr>
                <w:rFonts w:eastAsia="Times New Roman" w:cs="Times New Roman"/>
                <w:i/>
                <w:i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18,322,694,000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500,000,000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3</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CÁC KHOẢN PHẢI THU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18,471,234,448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16,636,335,304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Phải thu Cty Nam Dương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12,693,570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12,693,570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Cty CP vận tải và Xếp dỡ Hải An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FF0000"/>
                <w:sz w:val="20"/>
                <w:szCs w:val="20"/>
              </w:rPr>
            </w:pPr>
            <w:r w:rsidRPr="003858D2">
              <w:rPr>
                <w:rFonts w:ascii=".VnArial" w:eastAsia="Times New Roman" w:hAnsi=".VnArial" w:cs="Times New Roman"/>
                <w:color w:val="FF0000"/>
                <w:sz w:val="20"/>
                <w:szCs w:val="20"/>
              </w:rPr>
              <w:t xml:space="preserve">           1,442,320,326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FF0000"/>
                <w:sz w:val="20"/>
                <w:szCs w:val="20"/>
              </w:rPr>
            </w:pPr>
            <w:r w:rsidRPr="003858D2">
              <w:rPr>
                <w:rFonts w:ascii=".VnArial" w:eastAsia="Times New Roman" w:hAnsi=".VnArial" w:cs="Times New Roman"/>
                <w:color w:val="FF0000"/>
                <w:sz w:val="20"/>
                <w:szCs w:val="20"/>
              </w:rPr>
              <w:t xml:space="preserve">                      1,742,320,326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Cty TNHH DV Container Maserco</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333 311 562</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333 311 562</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Cty CP thực phẩm Vijais</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9 826 094 748</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sz w:val="22"/>
              </w:rPr>
            </w:pPr>
            <w:r w:rsidRPr="003858D2">
              <w:rPr>
                <w:rFonts w:eastAsia="Times New Roman" w:cs="Times New Roman"/>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9 570 359 426</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Đặt cọc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2,108,000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sz w:val="22"/>
              </w:rPr>
            </w:pPr>
            <w:r w:rsidRPr="003858D2">
              <w:rPr>
                <w:rFonts w:eastAsia="Times New Roman" w:cs="Times New Roman"/>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2,108,000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Tạm ứng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3,190,217,238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sz w:val="22"/>
              </w:rPr>
            </w:pPr>
            <w:r w:rsidRPr="003858D2">
              <w:rPr>
                <w:rFonts w:eastAsia="Times New Roman" w:cs="Times New Roman"/>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1,147,874,888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Phải thu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3,664,489,004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sz w:val="22"/>
              </w:rPr>
            </w:pPr>
            <w:r w:rsidRPr="003858D2">
              <w:rPr>
                <w:rFonts w:eastAsia="Times New Roman" w:cs="Times New Roman"/>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3,827,667,532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18,471,234,448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16,636,335,304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4</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HÀNG TỒN KHO</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Hàng mua đang đi trên đường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133,143,853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106,428,562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Nguyên vật liệu</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12,937,917,627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10,454,918,806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CCDC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857,810,311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1,084,042,910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SXKD dở dang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4,160,897,238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2,821,073,497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Thành phẩm</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1,589,829,443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1,174,191,497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Hàng hóa</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19,679,598,472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15,640,655,272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lastRenderedPageBreak/>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5</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CHI PHÍ XÂY DỰNG CƠ BẢN DỞ DANG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sz w:val="20"/>
                <w:szCs w:val="20"/>
              </w:rPr>
            </w:pPr>
            <w:r w:rsidRPr="003858D2">
              <w:rPr>
                <w:rFonts w:ascii=".VnArial" w:eastAsia="Times New Roman" w:hAnsi=".VnArial" w:cs="Times New Roman"/>
                <w:sz w:val="20"/>
                <w:szCs w:val="20"/>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Mở rộng bãi dọc kè chắn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color w:val="000000"/>
                <w:sz w:val="22"/>
              </w:rPr>
            </w:pPr>
            <w:r w:rsidRPr="003858D2">
              <w:rPr>
                <w:rFonts w:eastAsia="Times New Roman" w:cs="Times New Roman"/>
                <w:color w:val="00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color w:val="000000"/>
                <w:sz w:val="22"/>
              </w:rPr>
            </w:pPr>
            <w:r w:rsidRPr="003858D2">
              <w:rPr>
                <w:rFonts w:eastAsia="Times New Roman" w:cs="Times New Roman"/>
                <w:color w:val="000000"/>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00"/>
                <w:sz w:val="22"/>
              </w:rPr>
            </w:pPr>
            <w:r w:rsidRPr="003858D2">
              <w:rPr>
                <w:rFonts w:eastAsia="Times New Roman" w:cs="Times New Roman"/>
                <w:b/>
                <w:bCs/>
                <w:color w:val="000000"/>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Bãi 173 giai đoạn 2</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color w:val="000000"/>
                <w:sz w:val="22"/>
              </w:rPr>
            </w:pPr>
            <w:r w:rsidRPr="003858D2">
              <w:rPr>
                <w:rFonts w:eastAsia="Times New Roman" w:cs="Times New Roman"/>
                <w:color w:val="000000"/>
                <w:sz w:val="22"/>
              </w:rPr>
              <w:t xml:space="preserve">              791,751,697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color w:val="000000"/>
                <w:sz w:val="22"/>
              </w:rPr>
            </w:pPr>
            <w:r w:rsidRPr="003858D2">
              <w:rPr>
                <w:rFonts w:eastAsia="Times New Roman" w:cs="Times New Roman"/>
                <w:color w:val="000000"/>
                <w:sz w:val="22"/>
              </w:rPr>
              <w:t xml:space="preserve">                         789,167,309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Nhà hội trường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812 287 769</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697 650 989</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Nhà giao nhận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174 468 870</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78 109 620</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Xe nâng TCM</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745 000 000</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Thiết bị VP 8A</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41 859 844</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34 617 319</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Motachi ( ĐS)</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25 291 002</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25 291 002</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Nhà ở tập thể CBCNV ( khu B- Q9)</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65 145 872</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Máng vệ sinh ST2</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78 916 270</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Công trình phụ: khu nhà tắm cho CBCNV (Q9)</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43 988 150</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Cầu kiểm cont Đà Nẵng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1 356 043</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CN Hà Nội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2 665 817</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Mặt bãi MTC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537 013 739</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Xe container thanh lý ( 7xe)</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xml:space="preserve"> 1 227 272 727</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nil"/>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3,613,967,508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nil"/>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2,557,886,531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 xml:space="preserve">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eastAsia="Times New Roman" w:cs="Times New Roman"/>
                <w:b/>
                <w:bCs/>
                <w:color w:val="FF0000"/>
                <w:sz w:val="22"/>
              </w:rPr>
            </w:pP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eastAsia="Times New Roman" w:cs="Times New Roman"/>
                <w:b/>
                <w:bCs/>
                <w:color w:val="FF0000"/>
                <w:sz w:val="22"/>
              </w:rPr>
            </w:pP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6</w:t>
            </w:r>
          </w:p>
        </w:tc>
        <w:tc>
          <w:tcPr>
            <w:tcW w:w="6416" w:type="dxa"/>
            <w:gridSpan w:val="2"/>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CÁC KHOẢN PHẢI THU DÀI HẠN KHÁC</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color w:val="000000"/>
                <w:sz w:val="22"/>
              </w:rPr>
            </w:pPr>
            <w:r w:rsidRPr="003858D2">
              <w:rPr>
                <w:rFonts w:eastAsia="Times New Roman" w:cs="Times New Roman"/>
                <w:b/>
                <w:bCs/>
                <w:color w:val="000000"/>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Đặt cọc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2,003,200,000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3,200,000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Cty CP ĐT và XD và TM Motachi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28,684,004,300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25,005,890,300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00"/>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color w:val="000000"/>
                <w:sz w:val="22"/>
              </w:rPr>
            </w:pPr>
            <w:r w:rsidRPr="003858D2">
              <w:rPr>
                <w:rFonts w:eastAsia="Times New Roman" w:cs="Times New Roman"/>
                <w:color w:val="000000"/>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30,687,204,300 </w:t>
            </w:r>
          </w:p>
        </w:tc>
        <w:tc>
          <w:tcPr>
            <w:tcW w:w="97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25,009,090,300 </w:t>
            </w:r>
          </w:p>
        </w:tc>
      </w:tr>
      <w:tr w:rsidR="006D3784" w:rsidRPr="003858D2" w:rsidTr="00F27934">
        <w:trPr>
          <w:trHeight w:val="315"/>
        </w:trPr>
        <w:tc>
          <w:tcPr>
            <w:tcW w:w="32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bl>
    <w:p w:rsidR="008F1DB5" w:rsidRDefault="008F1DB5"/>
    <w:p w:rsidR="006D3784" w:rsidRDefault="006D3784"/>
    <w:tbl>
      <w:tblPr>
        <w:tblW w:w="11196" w:type="dxa"/>
        <w:tblInd w:w="-743" w:type="dxa"/>
        <w:tblLook w:val="04A0"/>
      </w:tblPr>
      <w:tblGrid>
        <w:gridCol w:w="3242"/>
        <w:gridCol w:w="1621"/>
        <w:gridCol w:w="1518"/>
        <w:gridCol w:w="1577"/>
        <w:gridCol w:w="1621"/>
        <w:gridCol w:w="1617"/>
      </w:tblGrid>
      <w:tr w:rsidR="006D3784" w:rsidRPr="00031151" w:rsidTr="00557330">
        <w:trPr>
          <w:trHeight w:val="300"/>
        </w:trPr>
        <w:tc>
          <w:tcPr>
            <w:tcW w:w="3120"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b/>
                <w:bCs/>
                <w:color w:val="0000FF"/>
                <w:sz w:val="22"/>
              </w:rPr>
            </w:pPr>
            <w:r>
              <w:rPr>
                <w:rFonts w:eastAsia="Times New Roman" w:cs="Times New Roman"/>
                <w:b/>
                <w:bCs/>
                <w:color w:val="0000FF"/>
                <w:sz w:val="22"/>
              </w:rPr>
              <w:t xml:space="preserve">7  </w:t>
            </w:r>
            <w:r w:rsidRPr="00031151">
              <w:rPr>
                <w:rFonts w:eastAsia="Times New Roman" w:cs="Times New Roman"/>
                <w:b/>
                <w:bCs/>
                <w:color w:val="0000FF"/>
                <w:sz w:val="22"/>
              </w:rPr>
              <w:t>TÀI SẢN CỐ ĐỊNH HỮU HÌNH</w:t>
            </w:r>
          </w:p>
        </w:tc>
        <w:tc>
          <w:tcPr>
            <w:tcW w:w="1559"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c>
          <w:tcPr>
            <w:tcW w:w="1460"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c>
          <w:tcPr>
            <w:tcW w:w="1517"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c>
          <w:tcPr>
            <w:tcW w:w="1559"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c>
          <w:tcPr>
            <w:tcW w:w="1556"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r>
      <w:tr w:rsidR="006D3784" w:rsidRPr="00031151" w:rsidTr="00557330">
        <w:trPr>
          <w:trHeight w:val="300"/>
        </w:trPr>
        <w:tc>
          <w:tcPr>
            <w:tcW w:w="3120" w:type="dxa"/>
            <w:tcBorders>
              <w:top w:val="nil"/>
              <w:left w:val="nil"/>
              <w:bottom w:val="single" w:sz="4" w:space="0" w:color="auto"/>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c>
          <w:tcPr>
            <w:tcW w:w="1559"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c>
          <w:tcPr>
            <w:tcW w:w="1460"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c>
          <w:tcPr>
            <w:tcW w:w="1517"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c>
          <w:tcPr>
            <w:tcW w:w="1559"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c>
          <w:tcPr>
            <w:tcW w:w="1556"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p>
        </w:tc>
      </w:tr>
      <w:tr w:rsidR="006D3784" w:rsidRPr="00031151" w:rsidTr="00557330">
        <w:trPr>
          <w:trHeight w:val="51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Khoản mục</w:t>
            </w:r>
          </w:p>
        </w:tc>
        <w:tc>
          <w:tcPr>
            <w:tcW w:w="1559" w:type="dxa"/>
            <w:tcBorders>
              <w:top w:val="single" w:sz="4" w:space="0" w:color="auto"/>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jc w:val="right"/>
              <w:rPr>
                <w:rFonts w:eastAsia="Times New Roman" w:cs="Times New Roman"/>
                <w:b/>
                <w:bCs/>
                <w:sz w:val="20"/>
                <w:szCs w:val="20"/>
              </w:rPr>
            </w:pPr>
            <w:r w:rsidRPr="00031151">
              <w:rPr>
                <w:rFonts w:eastAsia="Times New Roman" w:cs="Times New Roman"/>
                <w:b/>
                <w:bCs/>
                <w:sz w:val="20"/>
                <w:szCs w:val="20"/>
              </w:rPr>
              <w:t xml:space="preserve">  Nhà cửa, vật kiến trúc  </w:t>
            </w:r>
          </w:p>
        </w:tc>
        <w:tc>
          <w:tcPr>
            <w:tcW w:w="1460" w:type="dxa"/>
            <w:tcBorders>
              <w:top w:val="single" w:sz="4" w:space="0" w:color="auto"/>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jc w:val="right"/>
              <w:rPr>
                <w:rFonts w:eastAsia="Times New Roman" w:cs="Times New Roman"/>
                <w:b/>
                <w:bCs/>
                <w:sz w:val="20"/>
                <w:szCs w:val="20"/>
              </w:rPr>
            </w:pPr>
            <w:r w:rsidRPr="00031151">
              <w:rPr>
                <w:rFonts w:eastAsia="Times New Roman" w:cs="Times New Roman"/>
                <w:b/>
                <w:bCs/>
                <w:sz w:val="20"/>
                <w:szCs w:val="20"/>
              </w:rPr>
              <w:t xml:space="preserve">  Máy móc thiết bị  </w:t>
            </w:r>
          </w:p>
        </w:tc>
        <w:tc>
          <w:tcPr>
            <w:tcW w:w="1517" w:type="dxa"/>
            <w:tcBorders>
              <w:top w:val="single" w:sz="4" w:space="0" w:color="auto"/>
              <w:left w:val="nil"/>
              <w:bottom w:val="single" w:sz="4" w:space="0" w:color="auto"/>
              <w:right w:val="single" w:sz="4" w:space="0" w:color="auto"/>
            </w:tcBorders>
            <w:shd w:val="clear" w:color="auto" w:fill="auto"/>
            <w:noWrap/>
            <w:hideMark/>
          </w:tcPr>
          <w:p w:rsidR="006D3784" w:rsidRPr="00031151" w:rsidRDefault="006D3784" w:rsidP="00557330">
            <w:pPr>
              <w:spacing w:after="0" w:line="240" w:lineRule="auto"/>
              <w:jc w:val="center"/>
              <w:rPr>
                <w:rFonts w:eastAsia="Times New Roman" w:cs="Times New Roman"/>
                <w:b/>
                <w:bCs/>
                <w:sz w:val="20"/>
                <w:szCs w:val="20"/>
              </w:rPr>
            </w:pPr>
            <w:r w:rsidRPr="00031151">
              <w:rPr>
                <w:rFonts w:eastAsia="Times New Roman" w:cs="Times New Roman"/>
                <w:b/>
                <w:bCs/>
                <w:sz w:val="20"/>
                <w:szCs w:val="20"/>
              </w:rPr>
              <w:t xml:space="preserve">  Phương tiện vận tải  </w:t>
            </w:r>
          </w:p>
        </w:tc>
        <w:tc>
          <w:tcPr>
            <w:tcW w:w="1559" w:type="dxa"/>
            <w:tcBorders>
              <w:top w:val="single" w:sz="4" w:space="0" w:color="auto"/>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jc w:val="right"/>
              <w:rPr>
                <w:rFonts w:eastAsia="Times New Roman" w:cs="Times New Roman"/>
                <w:b/>
                <w:bCs/>
                <w:sz w:val="20"/>
                <w:szCs w:val="20"/>
              </w:rPr>
            </w:pPr>
            <w:r w:rsidRPr="00031151">
              <w:rPr>
                <w:rFonts w:eastAsia="Times New Roman" w:cs="Times New Roman"/>
                <w:b/>
                <w:bCs/>
                <w:sz w:val="20"/>
                <w:szCs w:val="20"/>
              </w:rPr>
              <w:t xml:space="preserve">  Dụng cụ quản lý  </w:t>
            </w:r>
          </w:p>
        </w:tc>
        <w:tc>
          <w:tcPr>
            <w:tcW w:w="1556" w:type="dxa"/>
            <w:tcBorders>
              <w:top w:val="single" w:sz="4" w:space="0" w:color="auto"/>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jc w:val="right"/>
              <w:rPr>
                <w:rFonts w:eastAsia="Times New Roman" w:cs="Times New Roman"/>
                <w:b/>
                <w:bCs/>
                <w:sz w:val="20"/>
                <w:szCs w:val="20"/>
              </w:rPr>
            </w:pPr>
            <w:r w:rsidRPr="00031151">
              <w:rPr>
                <w:rFonts w:eastAsia="Times New Roman" w:cs="Times New Roman"/>
                <w:b/>
                <w:bCs/>
                <w:sz w:val="20"/>
                <w:szCs w:val="20"/>
              </w:rPr>
              <w:t xml:space="preserve">  Tổng cộng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xml:space="preserve">NGUYÊN GIÁ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01/01/2016</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26,008,143,198 </w:t>
            </w:r>
          </w:p>
        </w:tc>
        <w:tc>
          <w:tcPr>
            <w:tcW w:w="1460"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4,595,728,953 </w:t>
            </w:r>
          </w:p>
        </w:tc>
        <w:tc>
          <w:tcPr>
            <w:tcW w:w="1517"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20,401,051,494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35,496,000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51,040,419,645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lastRenderedPageBreak/>
              <w:t>Mua trong năm</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xml:space="preserve">                    442,727,273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ascii=".VnTime" w:eastAsia="Times New Roman" w:hAnsi=".VnTime" w:cs="Times New Roman"/>
                <w:color w:val="000000"/>
                <w:sz w:val="20"/>
                <w:szCs w:val="20"/>
              </w:rPr>
            </w:pPr>
            <w:r w:rsidRPr="00031151">
              <w:rPr>
                <w:rFonts w:ascii=".VnTime" w:eastAsia="Times New Roman" w:hAnsi=".VnTime" w:cs="Times New Roman"/>
                <w:color w:val="000000"/>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442,727,273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Đầu tư XDCB hoàn thành</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jc w:val="right"/>
              <w:rPr>
                <w:rFonts w:eastAsia="Times New Roman" w:cs="Times New Roman"/>
                <w:color w:val="FF0000"/>
                <w:sz w:val="22"/>
              </w:rPr>
            </w:pPr>
            <w:r w:rsidRPr="00031151">
              <w:rPr>
                <w:rFonts w:eastAsia="Times New Roman" w:cs="Times New Roman"/>
                <w:color w:val="FF0000"/>
                <w:sz w:val="22"/>
              </w:rPr>
              <w:t xml:space="preserve">            188,050,292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xml:space="preserve">         745,000,000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933,050,292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Tăng khác</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Chuyển sang BĐS đầu tư</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Thanh lý, nhượng bán</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Giảm khác</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31/03/2016</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26,196,193,490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5,340,728,953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20,843,778,767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35,496,000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52,416,197,210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GIÁ TRỊ HAO MÒN LUỸ KẾ</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01/01/2016</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4,850,730,699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2,922,482,064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4,931,491,944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26,164,045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12,730,868,752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Khấu hao trong năm</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color w:val="FF0000"/>
                <w:sz w:val="20"/>
                <w:szCs w:val="20"/>
              </w:rPr>
            </w:pPr>
            <w:r w:rsidRPr="00031151">
              <w:rPr>
                <w:rFonts w:eastAsia="Times New Roman" w:cs="Times New Roman"/>
                <w:color w:val="FF0000"/>
                <w:sz w:val="20"/>
                <w:szCs w:val="20"/>
              </w:rPr>
              <w:t xml:space="preserve">                   440,946,442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color w:val="FF0000"/>
                <w:sz w:val="20"/>
                <w:szCs w:val="20"/>
              </w:rPr>
            </w:pPr>
            <w:r w:rsidRPr="00031151">
              <w:rPr>
                <w:rFonts w:eastAsia="Times New Roman" w:cs="Times New Roman"/>
                <w:color w:val="FF0000"/>
                <w:sz w:val="20"/>
                <w:szCs w:val="20"/>
              </w:rPr>
              <w:t xml:space="preserve">           90,425,977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color w:val="FF0000"/>
                <w:sz w:val="20"/>
                <w:szCs w:val="20"/>
              </w:rPr>
            </w:pPr>
            <w:r w:rsidRPr="00031151">
              <w:rPr>
                <w:rFonts w:eastAsia="Times New Roman" w:cs="Times New Roman"/>
                <w:color w:val="FF0000"/>
                <w:sz w:val="20"/>
                <w:szCs w:val="20"/>
              </w:rPr>
              <w:t xml:space="preserve">                    528,938,343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xml:space="preserve">                              2,218,500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1,062,529,262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Tăng khác</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Chuyển sang BĐS đầu tư</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Thanh lý, nhượng bán</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Giảm khác</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31/03/2016</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5,291,677,141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3,012,908,041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5,460,430,287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28,382,545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13,793,398,014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xml:space="preserve">GIÁ TRỊ CÒN LẠI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01/01/2016</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21,157,412,499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1,673,246,889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15,469,559,550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9,331,955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38,309,550,893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31/03/2016</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20,904,516,349 </w:t>
            </w:r>
          </w:p>
        </w:tc>
        <w:tc>
          <w:tcPr>
            <w:tcW w:w="1460"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2,327,820,912 </w:t>
            </w:r>
          </w:p>
        </w:tc>
        <w:tc>
          <w:tcPr>
            <w:tcW w:w="1517"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15,383,348,480 </w:t>
            </w:r>
          </w:p>
        </w:tc>
        <w:tc>
          <w:tcPr>
            <w:tcW w:w="1559"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7,113,455 </w:t>
            </w:r>
          </w:p>
        </w:tc>
        <w:tc>
          <w:tcPr>
            <w:tcW w:w="1556" w:type="dxa"/>
            <w:tcBorders>
              <w:top w:val="nil"/>
              <w:left w:val="nil"/>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0"/>
                <w:szCs w:val="20"/>
              </w:rPr>
            </w:pPr>
            <w:r w:rsidRPr="00031151">
              <w:rPr>
                <w:rFonts w:eastAsia="Times New Roman" w:cs="Times New Roman"/>
                <w:b/>
                <w:bCs/>
                <w:sz w:val="20"/>
                <w:szCs w:val="20"/>
              </w:rPr>
              <w:t xml:space="preserve">  38,622,799,196 </w:t>
            </w:r>
          </w:p>
        </w:tc>
      </w:tr>
      <w:tr w:rsidR="006D3784" w:rsidRPr="00031151" w:rsidTr="00557330">
        <w:trPr>
          <w:trHeight w:val="300"/>
        </w:trPr>
        <w:tc>
          <w:tcPr>
            <w:tcW w:w="3120" w:type="dxa"/>
            <w:tcBorders>
              <w:top w:val="nil"/>
              <w:left w:val="single" w:sz="4" w:space="0" w:color="auto"/>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 </w:t>
            </w:r>
          </w:p>
        </w:tc>
        <w:tc>
          <w:tcPr>
            <w:tcW w:w="1559"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6"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r>
      <w:tr w:rsidR="006D3784" w:rsidRPr="00031151" w:rsidTr="00557330">
        <w:trPr>
          <w:trHeight w:val="300"/>
        </w:trPr>
        <w:tc>
          <w:tcPr>
            <w:tcW w:w="3120" w:type="dxa"/>
            <w:tcBorders>
              <w:top w:val="nil"/>
              <w:left w:val="single" w:sz="4" w:space="0" w:color="auto"/>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 </w:t>
            </w:r>
          </w:p>
        </w:tc>
        <w:tc>
          <w:tcPr>
            <w:tcW w:w="1559"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jc w:val="right"/>
              <w:rPr>
                <w:rFonts w:eastAsia="Times New Roman" w:cs="Times New Roman"/>
                <w:b/>
                <w:bCs/>
                <w:sz w:val="20"/>
                <w:szCs w:val="20"/>
              </w:rPr>
            </w:pPr>
            <w:r w:rsidRPr="00031151">
              <w:rPr>
                <w:rFonts w:eastAsia="Times New Roman" w:cs="Times New Roman"/>
                <w:b/>
                <w:bCs/>
                <w:sz w:val="20"/>
                <w:szCs w:val="20"/>
              </w:rPr>
              <w:t> </w:t>
            </w:r>
          </w:p>
        </w:tc>
        <w:tc>
          <w:tcPr>
            <w:tcW w:w="1517"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jc w:val="right"/>
              <w:rPr>
                <w:rFonts w:eastAsia="Times New Roman" w:cs="Times New Roman"/>
                <w:b/>
                <w:bCs/>
                <w:sz w:val="20"/>
                <w:szCs w:val="20"/>
              </w:rPr>
            </w:pPr>
            <w:r w:rsidRPr="00031151">
              <w:rPr>
                <w:rFonts w:eastAsia="Times New Roman" w:cs="Times New Roman"/>
                <w:b/>
                <w:bCs/>
                <w:sz w:val="20"/>
                <w:szCs w:val="20"/>
              </w:rPr>
              <w:t> </w:t>
            </w:r>
          </w:p>
        </w:tc>
        <w:tc>
          <w:tcPr>
            <w:tcW w:w="1559"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jc w:val="right"/>
              <w:rPr>
                <w:rFonts w:eastAsia="Times New Roman" w:cs="Times New Roman"/>
                <w:b/>
                <w:bCs/>
                <w:sz w:val="20"/>
                <w:szCs w:val="20"/>
              </w:rPr>
            </w:pPr>
            <w:r w:rsidRPr="00031151">
              <w:rPr>
                <w:rFonts w:eastAsia="Times New Roman" w:cs="Times New Roman"/>
                <w:b/>
                <w:bCs/>
                <w:sz w:val="20"/>
                <w:szCs w:val="20"/>
              </w:rPr>
              <w:t> </w:t>
            </w:r>
          </w:p>
        </w:tc>
        <w:tc>
          <w:tcPr>
            <w:tcW w:w="1556"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jc w:val="right"/>
              <w:rPr>
                <w:rFonts w:eastAsia="Times New Roman" w:cs="Times New Roman"/>
                <w:b/>
                <w:bCs/>
                <w:sz w:val="20"/>
                <w:szCs w:val="20"/>
              </w:rPr>
            </w:pPr>
            <w:r w:rsidRPr="00031151">
              <w:rPr>
                <w:rFonts w:eastAsia="Times New Roman" w:cs="Times New Roman"/>
                <w:b/>
                <w:bCs/>
                <w:sz w:val="20"/>
                <w:szCs w:val="20"/>
              </w:rPr>
              <w:t> </w:t>
            </w:r>
          </w:p>
        </w:tc>
      </w:tr>
      <w:tr w:rsidR="006D3784" w:rsidRPr="00031151" w:rsidTr="00557330">
        <w:trPr>
          <w:trHeight w:val="300"/>
        </w:trPr>
        <w:tc>
          <w:tcPr>
            <w:tcW w:w="3120" w:type="dxa"/>
            <w:tcBorders>
              <w:top w:val="nil"/>
              <w:left w:val="single" w:sz="4" w:space="0" w:color="auto"/>
              <w:bottom w:val="nil"/>
              <w:right w:val="nil"/>
            </w:tcBorders>
            <w:shd w:val="clear" w:color="auto" w:fill="auto"/>
            <w:noWrap/>
            <w:vAlign w:val="bottom"/>
            <w:hideMark/>
          </w:tcPr>
          <w:p w:rsidR="006D3784" w:rsidRPr="00031151" w:rsidRDefault="006D3784" w:rsidP="00557330">
            <w:pPr>
              <w:spacing w:after="0" w:line="240" w:lineRule="auto"/>
              <w:rPr>
                <w:rFonts w:eastAsia="Times New Roman" w:cs="Times New Roman"/>
                <w:b/>
                <w:bCs/>
                <w:color w:val="0000FF"/>
                <w:sz w:val="22"/>
              </w:rPr>
            </w:pPr>
            <w:r w:rsidRPr="00031151">
              <w:rPr>
                <w:rFonts w:eastAsia="Times New Roman" w:cs="Times New Roman"/>
                <w:b/>
                <w:bCs/>
                <w:color w:val="0000FF"/>
                <w:sz w:val="22"/>
              </w:rPr>
              <w:t>TÀI SẢN CỐ ĐỊNH VÔ HÌNH</w:t>
            </w:r>
          </w:p>
        </w:tc>
        <w:tc>
          <w:tcPr>
            <w:tcW w:w="1559"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460"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17"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c>
          <w:tcPr>
            <w:tcW w:w="1559" w:type="dxa"/>
            <w:tcBorders>
              <w:top w:val="nil"/>
              <w:left w:val="nil"/>
              <w:bottom w:val="nil"/>
              <w:right w:val="nil"/>
            </w:tcBorders>
            <w:shd w:val="clear" w:color="auto" w:fill="auto"/>
            <w:noWrap/>
            <w:vAlign w:val="bottom"/>
            <w:hideMark/>
          </w:tcPr>
          <w:p w:rsidR="006D3784" w:rsidRPr="00031151" w:rsidRDefault="006D3784" w:rsidP="00557330">
            <w:pPr>
              <w:spacing w:after="0" w:line="240" w:lineRule="auto"/>
              <w:rPr>
                <w:rFonts w:ascii=".VnArial" w:eastAsia="Times New Roman" w:hAnsi=".VnArial" w:cs="Times New Roman"/>
                <w:sz w:val="20"/>
                <w:szCs w:val="20"/>
              </w:rPr>
            </w:pPr>
          </w:p>
        </w:tc>
        <w:tc>
          <w:tcPr>
            <w:tcW w:w="1556" w:type="dxa"/>
            <w:tcBorders>
              <w:top w:val="nil"/>
              <w:left w:val="nil"/>
              <w:bottom w:val="nil"/>
              <w:right w:val="nil"/>
            </w:tcBorders>
            <w:shd w:val="clear" w:color="000000" w:fill="FFFFFF"/>
            <w:noWrap/>
            <w:vAlign w:val="bottom"/>
            <w:hideMark/>
          </w:tcPr>
          <w:p w:rsidR="006D3784" w:rsidRPr="00031151" w:rsidRDefault="006D3784" w:rsidP="00557330">
            <w:pPr>
              <w:spacing w:after="0" w:line="240" w:lineRule="auto"/>
              <w:rPr>
                <w:rFonts w:eastAsia="Times New Roman" w:cs="Times New Roman"/>
                <w:sz w:val="20"/>
                <w:szCs w:val="20"/>
              </w:rPr>
            </w:pPr>
            <w:r w:rsidRPr="00031151">
              <w:rPr>
                <w:rFonts w:eastAsia="Times New Roman" w:cs="Times New Roman"/>
                <w:sz w:val="20"/>
                <w:szCs w:val="20"/>
              </w:rPr>
              <w:t> </w:t>
            </w:r>
          </w:p>
        </w:tc>
      </w:tr>
      <w:tr w:rsidR="006D3784" w:rsidRPr="00031151" w:rsidTr="00557330">
        <w:trPr>
          <w:trHeight w:val="300"/>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Khoản mục</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Giá trị sử dụng đất</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jc w:val="center"/>
              <w:rPr>
                <w:rFonts w:eastAsia="Times New Roman" w:cs="Times New Roman"/>
                <w:b/>
                <w:bCs/>
                <w:sz w:val="22"/>
              </w:rPr>
            </w:pPr>
            <w:r w:rsidRPr="00031151">
              <w:rPr>
                <w:rFonts w:eastAsia="Times New Roman" w:cs="Times New Roman"/>
                <w:b/>
                <w:bCs/>
                <w:sz w:val="22"/>
              </w:rPr>
              <w:t xml:space="preserve"> Phần mềm máy tính </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jc w:val="center"/>
              <w:rPr>
                <w:rFonts w:eastAsia="Times New Roman" w:cs="Times New Roman"/>
                <w:b/>
                <w:bCs/>
                <w:sz w:val="22"/>
              </w:rPr>
            </w:pPr>
            <w:r w:rsidRPr="00031151">
              <w:rPr>
                <w:rFonts w:eastAsia="Times New Roman" w:cs="Times New Roman"/>
                <w:b/>
                <w:bCs/>
                <w:sz w:val="22"/>
              </w:rPr>
              <w:t xml:space="preserve"> Cộng </w:t>
            </w:r>
          </w:p>
        </w:tc>
      </w:tr>
      <w:tr w:rsidR="006D3784" w:rsidRPr="00031151" w:rsidTr="00557330">
        <w:trPr>
          <w:trHeight w:val="300"/>
        </w:trPr>
        <w:tc>
          <w:tcPr>
            <w:tcW w:w="7656" w:type="dxa"/>
            <w:gridSpan w:val="4"/>
            <w:tcBorders>
              <w:top w:val="single" w:sz="4" w:space="0" w:color="auto"/>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jc w:val="center"/>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xml:space="preserve">NGUYÊN GIÁ </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01/01/2016</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jc w:val="right"/>
              <w:rPr>
                <w:rFonts w:eastAsia="Times New Roman" w:cs="Times New Roman"/>
                <w:b/>
                <w:bCs/>
                <w:sz w:val="22"/>
              </w:rPr>
            </w:pPr>
            <w:r w:rsidRPr="00031151">
              <w:rPr>
                <w:rFonts w:eastAsia="Times New Roman" w:cs="Times New Roman"/>
                <w:b/>
                <w:bCs/>
                <w:sz w:val="22"/>
              </w:rPr>
              <w:t xml:space="preserve">633,632,000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xml:space="preserve">                40,000,000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xml:space="preserve">   673,632,000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Mua trong năm</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sz w:val="22"/>
              </w:rPr>
            </w:pPr>
            <w:r w:rsidRPr="00031151">
              <w:rPr>
                <w:rFonts w:eastAsia="Times New Roman" w:cs="Times New Roman"/>
                <w:sz w:val="22"/>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xml:space="preserve">                    -   </w:t>
            </w:r>
          </w:p>
        </w:tc>
      </w:tr>
      <w:tr w:rsidR="006D3784" w:rsidRPr="00031151" w:rsidTr="00557330">
        <w:trPr>
          <w:trHeight w:val="285"/>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31/03/2016</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jc w:val="right"/>
              <w:rPr>
                <w:rFonts w:eastAsia="Times New Roman" w:cs="Times New Roman"/>
                <w:b/>
                <w:bCs/>
                <w:sz w:val="22"/>
              </w:rPr>
            </w:pPr>
            <w:r w:rsidRPr="00031151">
              <w:rPr>
                <w:rFonts w:eastAsia="Times New Roman" w:cs="Times New Roman"/>
                <w:b/>
                <w:bCs/>
                <w:sz w:val="22"/>
              </w:rPr>
              <w:t xml:space="preserve">633,632,000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40,000,000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673,632,000 </w:t>
            </w:r>
          </w:p>
        </w:tc>
      </w:tr>
      <w:tr w:rsidR="006D3784" w:rsidRPr="00031151" w:rsidTr="00557330">
        <w:trPr>
          <w:trHeight w:val="300"/>
        </w:trPr>
        <w:tc>
          <w:tcPr>
            <w:tcW w:w="7656" w:type="dxa"/>
            <w:gridSpan w:val="4"/>
            <w:tcBorders>
              <w:top w:val="single" w:sz="4" w:space="0" w:color="auto"/>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jc w:val="center"/>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GIÁ TRỊ HAO MÒN LUỸ KẾ</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01/01/2016</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24,000,012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24,000,012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Khấu hao trong năm</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xml:space="preserve">                           2,000,001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xml:space="preserve">            2,000,001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31/03/2016</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26,000,013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26,000,013 </w:t>
            </w:r>
          </w:p>
        </w:tc>
      </w:tr>
      <w:tr w:rsidR="006D3784" w:rsidRPr="00031151" w:rsidTr="00557330">
        <w:trPr>
          <w:trHeight w:val="300"/>
        </w:trPr>
        <w:tc>
          <w:tcPr>
            <w:tcW w:w="7656" w:type="dxa"/>
            <w:gridSpan w:val="4"/>
            <w:tcBorders>
              <w:top w:val="single" w:sz="4" w:space="0" w:color="auto"/>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jc w:val="center"/>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w:t>
            </w:r>
          </w:p>
        </w:tc>
      </w:tr>
      <w:tr w:rsidR="006D3784" w:rsidRPr="00031151" w:rsidTr="00557330">
        <w:trPr>
          <w:trHeight w:val="300"/>
        </w:trPr>
        <w:tc>
          <w:tcPr>
            <w:tcW w:w="7656" w:type="dxa"/>
            <w:gridSpan w:val="4"/>
            <w:tcBorders>
              <w:top w:val="single" w:sz="4" w:space="0" w:color="auto"/>
              <w:left w:val="single" w:sz="4" w:space="0" w:color="auto"/>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xml:space="preserve">GIÁ TRỊ CÒN LẠI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Calibri" w:eastAsia="Times New Roman" w:hAnsi="Calibri" w:cs="Times New Roman"/>
                <w:color w:val="000000"/>
                <w:sz w:val="22"/>
              </w:rPr>
            </w:pPr>
            <w:r w:rsidRPr="00031151">
              <w:rPr>
                <w:rFonts w:ascii="Calibri" w:eastAsia="Times New Roman" w:hAnsi="Calibri" w:cs="Times New Roman"/>
                <w:color w:val="000000"/>
                <w:sz w:val="22"/>
              </w:rPr>
              <w:t>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lastRenderedPageBreak/>
              <w:t>Số dư tại 01/01/2016</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15,999,988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649,631,988 </w:t>
            </w:r>
          </w:p>
        </w:tc>
      </w:tr>
      <w:tr w:rsidR="006D3784" w:rsidRPr="00031151" w:rsidTr="00557330">
        <w:trPr>
          <w:trHeight w:val="300"/>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Số dư tại 31/03/2016</w:t>
            </w:r>
          </w:p>
        </w:tc>
        <w:tc>
          <w:tcPr>
            <w:tcW w:w="1559"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460"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17" w:type="dxa"/>
            <w:tcBorders>
              <w:top w:val="nil"/>
              <w:left w:val="nil"/>
              <w:bottom w:val="single" w:sz="4" w:space="0" w:color="auto"/>
              <w:right w:val="single" w:sz="4" w:space="0" w:color="auto"/>
            </w:tcBorders>
            <w:shd w:val="clear" w:color="auto" w:fill="auto"/>
            <w:hideMark/>
          </w:tcPr>
          <w:p w:rsidR="006D3784" w:rsidRPr="00031151" w:rsidRDefault="006D3784" w:rsidP="00557330">
            <w:pPr>
              <w:spacing w:after="0" w:line="240" w:lineRule="auto"/>
              <w:rPr>
                <w:rFonts w:eastAsia="Times New Roman" w:cs="Times New Roman"/>
                <w:b/>
                <w:bCs/>
                <w:sz w:val="22"/>
              </w:rPr>
            </w:pPr>
            <w:r w:rsidRPr="00031151">
              <w:rPr>
                <w:rFonts w:eastAsia="Times New Roman" w:cs="Times New Roman"/>
                <w:b/>
                <w:bCs/>
                <w:sz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13,999,987 </w:t>
            </w:r>
          </w:p>
        </w:tc>
        <w:tc>
          <w:tcPr>
            <w:tcW w:w="1556" w:type="dxa"/>
            <w:tcBorders>
              <w:top w:val="nil"/>
              <w:left w:val="nil"/>
              <w:bottom w:val="single" w:sz="4" w:space="0" w:color="auto"/>
              <w:right w:val="single" w:sz="4" w:space="0" w:color="auto"/>
            </w:tcBorders>
            <w:shd w:val="clear" w:color="auto" w:fill="auto"/>
            <w:noWrap/>
            <w:vAlign w:val="bottom"/>
            <w:hideMark/>
          </w:tcPr>
          <w:p w:rsidR="006D3784" w:rsidRPr="00031151" w:rsidRDefault="006D3784" w:rsidP="00557330">
            <w:pPr>
              <w:spacing w:after="0" w:line="240" w:lineRule="auto"/>
              <w:rPr>
                <w:rFonts w:ascii="Arial" w:eastAsia="Times New Roman" w:hAnsi="Arial" w:cs="Arial"/>
                <w:b/>
                <w:bCs/>
                <w:sz w:val="20"/>
                <w:szCs w:val="20"/>
              </w:rPr>
            </w:pPr>
            <w:r w:rsidRPr="00031151">
              <w:rPr>
                <w:rFonts w:ascii="Arial" w:eastAsia="Times New Roman" w:hAnsi="Arial" w:cs="Arial"/>
                <w:b/>
                <w:bCs/>
                <w:sz w:val="20"/>
                <w:szCs w:val="20"/>
              </w:rPr>
              <w:t xml:space="preserve">     647,631,987 </w:t>
            </w:r>
          </w:p>
        </w:tc>
      </w:tr>
    </w:tbl>
    <w:p w:rsidR="006D3784" w:rsidRDefault="006D3784"/>
    <w:tbl>
      <w:tblPr>
        <w:tblW w:w="10412" w:type="dxa"/>
        <w:tblInd w:w="-176" w:type="dxa"/>
        <w:tblLook w:val="04A0"/>
      </w:tblPr>
      <w:tblGrid>
        <w:gridCol w:w="436"/>
        <w:gridCol w:w="4416"/>
        <w:gridCol w:w="2000"/>
        <w:gridCol w:w="976"/>
        <w:gridCol w:w="2736"/>
      </w:tblGrid>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8</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CÁC KHOẢN ĐẦU TƯ DÀI HẠN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557330">
        <w:trPr>
          <w:trHeight w:val="300"/>
        </w:trPr>
        <w:tc>
          <w:tcPr>
            <w:tcW w:w="284"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single" w:sz="4" w:space="0" w:color="auto"/>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2736" w:type="dxa"/>
            <w:tcBorders>
              <w:top w:val="nil"/>
              <w:left w:val="nil"/>
              <w:bottom w:val="single" w:sz="4" w:space="0" w:color="auto"/>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Đầu tư dài hạn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22,312,515,000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22,312,515,000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Công ty Cổ phần Hải Minh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2,816,785,000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2,816,785,000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Công ty CP xếp dỡ Hải An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16,409,680,000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16,409,680,000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Công ty Cổ phần Hàng hải Nam Dương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1,800,000,000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1,800,000,000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Công ty TNHH Dịch vụ Container Maserco</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886,050,000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sz w:val="22"/>
              </w:rPr>
            </w:pPr>
            <w:r w:rsidRPr="003858D2">
              <w:rPr>
                <w:rFonts w:eastAsia="Times New Roman" w:cs="Times New Roman"/>
                <w:b/>
                <w:bCs/>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886,050,000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Cty CP thực phẩm Vijais</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400,000,000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400,000,000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22,312,515,000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22,312,515,000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9</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xml:space="preserve"> Vay và nợ thuê tài chính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3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u w:val="single"/>
              </w:rPr>
            </w:pPr>
            <w:r w:rsidRPr="003858D2">
              <w:rPr>
                <w:rFonts w:eastAsia="Times New Roman" w:cs="Times New Roman"/>
                <w:sz w:val="20"/>
                <w:szCs w:val="20"/>
                <w:u w:val="single"/>
              </w:rPr>
              <w:t>Ngắn hạn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u w:val="single"/>
              </w:rPr>
            </w:pPr>
            <w:r w:rsidRPr="003858D2">
              <w:rPr>
                <w:rFonts w:eastAsia="Times New Roman" w:cs="Times New Roman"/>
                <w:b/>
                <w:bCs/>
                <w:sz w:val="22"/>
                <w:u w:val="single"/>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sz w:val="16"/>
                <w:szCs w:val="16"/>
              </w:rPr>
            </w:pPr>
            <w:r w:rsidRPr="003858D2">
              <w:rPr>
                <w:rFonts w:ascii=".VnArial" w:eastAsia="Times New Roman" w:hAnsi=".VnArial" w:cs="Times New Roman"/>
                <w:sz w:val="16"/>
                <w:szCs w:val="16"/>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u w:val="single"/>
              </w:rPr>
            </w:pPr>
            <w:r w:rsidRPr="003858D2">
              <w:rPr>
                <w:rFonts w:eastAsia="Times New Roman" w:cs="Times New Roman"/>
                <w:b/>
                <w:bCs/>
                <w:sz w:val="22"/>
                <w:u w:val="single"/>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Ngân hàng TM CP Công thương VN- CN Ngô Quyền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5,008,953,045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12,231,665,587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Eximbank</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2,651,927,199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3,172,239,837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0"/>
                <w:szCs w:val="20"/>
              </w:rPr>
            </w:pPr>
            <w:r w:rsidRPr="003858D2">
              <w:rPr>
                <w:rFonts w:eastAsia="Times New Roman" w:cs="Times New Roman"/>
                <w:sz w:val="20"/>
                <w:szCs w:val="20"/>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7,660,880,244 </w:t>
            </w:r>
          </w:p>
        </w:tc>
        <w:tc>
          <w:tcPr>
            <w:tcW w:w="97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15,403,905,424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sz w:val="22"/>
              </w:rPr>
            </w:pPr>
            <w:r w:rsidRPr="003858D2">
              <w:rPr>
                <w:rFonts w:eastAsia="Times New Roman" w:cs="Times New Roman"/>
                <w:i/>
                <w:i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u w:val="single"/>
              </w:rPr>
            </w:pPr>
            <w:r w:rsidRPr="003858D2">
              <w:rPr>
                <w:rFonts w:eastAsia="Times New Roman" w:cs="Times New Roman"/>
                <w:sz w:val="22"/>
                <w:u w:val="single"/>
              </w:rPr>
              <w:t>Dài hạn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Ngân hàng TM CP Công thương VN- CN Ngô Quyền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1,610,000,000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i/>
                <w:iCs/>
                <w:sz w:val="22"/>
              </w:rPr>
            </w:pPr>
            <w:r w:rsidRPr="003858D2">
              <w:rPr>
                <w:rFonts w:eastAsia="Times New Roman" w:cs="Times New Roman"/>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1,610,000,000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1,610,000,000 </w:t>
            </w:r>
          </w:p>
        </w:tc>
        <w:tc>
          <w:tcPr>
            <w:tcW w:w="97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1,610,000,000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10</w:t>
            </w:r>
          </w:p>
        </w:tc>
        <w:tc>
          <w:tcPr>
            <w:tcW w:w="6416" w:type="dxa"/>
            <w:gridSpan w:val="2"/>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THUẾ VÀ CÁC KHOẢN PHẢI NỘP NHÀ NƯỚC</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lastRenderedPageBreak/>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Thuế GTGT</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992,940,685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906,026,856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Thuế thu nhập doanh nghiệp</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1,038,519,149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xml:space="preserve"> 1 099 559 794</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 xml:space="preserve">Thuế TNCN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21,340,163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Thuế nhà đất và tiền thuê đất</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644,183,500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xml:space="preserve">  398 316 500</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0"/>
                <w:szCs w:val="20"/>
              </w:rPr>
            </w:pPr>
            <w:r w:rsidRPr="003858D2">
              <w:rPr>
                <w:rFonts w:eastAsia="Times New Roman" w:cs="Times New Roman"/>
                <w:sz w:val="20"/>
                <w:szCs w:val="20"/>
              </w:rPr>
              <w:t>Phí, lệ phí phải nộp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2,093,903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2,093,903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2,699,077,400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2,405,997,053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11</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CHI PHÍ PHẢI TRẢ</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Trích trước tiền điện, nước, điện thoại phải trả</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79,937,656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86,591,204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lãi vay</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25,419,912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79,937,656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112,011,116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28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12</w:t>
            </w:r>
          </w:p>
        </w:tc>
        <w:tc>
          <w:tcPr>
            <w:tcW w:w="6416" w:type="dxa"/>
            <w:gridSpan w:val="2"/>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CÁC KHOẢN PHẢI TRẢ PHẢI NỘP NGẮN HẠN KHÁC</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31/03/2016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01/01/2016</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xml:space="preserve"> VND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Kinh phí công đoàn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176,009,907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213,472,207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Bảo hiểm xã hội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588,889,783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601,427,715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Phải trả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9,229,782,733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1,449,676,270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9,994,682,423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2,264,576,192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color w:val="000000"/>
                <w:sz w:val="20"/>
                <w:szCs w:val="20"/>
              </w:rPr>
            </w:pPr>
            <w:r w:rsidRPr="003858D2">
              <w:rPr>
                <w:rFonts w:ascii=".VnArial" w:eastAsia="Times New Roman" w:hAnsi=".VnArial" w:cs="Times New Roman"/>
                <w:color w:val="000000"/>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13</w:t>
            </w:r>
          </w:p>
        </w:tc>
        <w:tc>
          <w:tcPr>
            <w:tcW w:w="6416" w:type="dxa"/>
            <w:gridSpan w:val="2"/>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DOANH THU BÁN HÀNG VÀ CUNG CẤP DỊCH VỤ</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lastRenderedPageBreak/>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đóng mới và sửa chữa tàu biển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96,466,705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2</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sửa chữa cơ khí, phương tiện bộ</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32,061,830,171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27,231,799,655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3</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thương mại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1,837,103,410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1,144,748,263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4</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khai thác bãi Container</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3,569,288,859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2,470,292,539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5</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vận tải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789,781,765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865,371,492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6</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Hoạt động khác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37,000,000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98,904,089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Time" w:eastAsia="Times New Roman" w:hAnsi=".VnTime" w:cs="Times New Roman"/>
                <w:b/>
                <w:bCs/>
                <w:sz w:val="24"/>
                <w:szCs w:val="24"/>
              </w:rPr>
            </w:pPr>
            <w:r w:rsidRPr="003858D2">
              <w:rPr>
                <w:rFonts w:ascii=".VnTime" w:eastAsia="Times New Roman" w:hAnsi=".VnTime" w:cs="Times New Roman"/>
                <w:b/>
                <w:bCs/>
                <w:sz w:val="24"/>
                <w:szCs w:val="24"/>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sz w:val="20"/>
                <w:szCs w:val="20"/>
              </w:rPr>
            </w:pPr>
            <w:r w:rsidRPr="003858D2">
              <w:rPr>
                <w:rFonts w:ascii=".VnArial" w:eastAsia="Times New Roman" w:hAnsi=".VnArial" w:cs="Times New Roman"/>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38,295,004,205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31,907,582,743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14</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CÁC KHOẢN GIẢM TRỪ</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Chiết khấu thương mại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Giảm giá hàng bán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Hàng bán bị trả lại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Thuế GTGT phải nộp (phương pháp trực tiếp)</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Thuế tiêu thụ đặc biệt</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Thuế xuất khẩu</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15</w:t>
            </w:r>
          </w:p>
        </w:tc>
        <w:tc>
          <w:tcPr>
            <w:tcW w:w="7392" w:type="dxa"/>
            <w:gridSpan w:val="3"/>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DOANH THU THUẦN VỀ BÁN HÀNG VÀ CUNG CẤP DỊCH VỤ</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28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38,295,004,205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31,907,582,743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đóng mới và sửa chữa tàu biển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96,466,705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sửa chữa cơ khí, phương tiện bộ</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32,061,830,171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27,231,799,655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thương mại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1,837,103,410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1,144,748,263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khai thác bãi Container</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3,569,288,859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2,470,292,539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giao nhận vận tải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789,781,765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865,371,492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Hoạt động khác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37,000,000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98,904,089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lastRenderedPageBreak/>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38,295,004,205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31,907,582,743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16</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GIÁ VỐN HÀNG BÁN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29,246,154,975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23,463,559,352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đóng mới và sửa chữa tàu biển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87,116,033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sửa chữa cơ khí, phương tiện bộ</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24,094,770,732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19,825,437,757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thương mại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1,583,347,186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622,062,809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khai thác bãi Container</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3,120,913,447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2,443,929,548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Hoạt động giao nhận vận tải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442,987,368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480,862,205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Hoạt động khác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4,136,242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4,151,000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b/>
                <w:bCs/>
                <w:sz w:val="20"/>
                <w:szCs w:val="20"/>
              </w:rPr>
            </w:pPr>
            <w:r w:rsidRPr="003858D2">
              <w:rPr>
                <w:rFonts w:ascii=".VnArial" w:eastAsia="Times New Roman" w:hAnsi=".VnArial" w:cs="Times New Roman"/>
                <w:b/>
                <w:bCs/>
                <w:sz w:val="20"/>
                <w:szCs w:val="20"/>
              </w:rPr>
              <w:t> </w:t>
            </w:r>
          </w:p>
        </w:tc>
      </w:tr>
      <w:tr w:rsidR="006D3784" w:rsidRPr="003858D2" w:rsidTr="00557330">
        <w:trPr>
          <w:trHeight w:val="28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center"/>
              <w:rPr>
                <w:rFonts w:eastAsia="Times New Roman" w:cs="Times New Roman"/>
                <w:b/>
                <w:bCs/>
                <w:sz w:val="22"/>
              </w:rPr>
            </w:pPr>
            <w:r w:rsidRPr="003858D2">
              <w:rPr>
                <w:rFonts w:eastAsia="Times New Roman" w:cs="Times New Roman"/>
                <w:b/>
                <w:b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29,246,154,975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23,463,559,352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center"/>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17</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DOANH THU HOẠT ĐỘNG TÀI CHÍNH</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Lãi tiền gửi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34,253,347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48,609,775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Lãi tiền cho vay tổ chức, cá nhân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Lãi đầu tư trái phiếu, kỳ phiếu, tín phiếu</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Cổ tức, lợi nhuận được chia</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color w:val="000000" w:themeColor="text1"/>
                <w:sz w:val="22"/>
              </w:rPr>
            </w:pPr>
            <w:r w:rsidRPr="003858D2">
              <w:rPr>
                <w:rFonts w:eastAsia="Times New Roman" w:cs="Times New Roman"/>
                <w:color w:val="000000" w:themeColor="text1"/>
                <w:sz w:val="22"/>
              </w:rPr>
              <w:t xml:space="preserve">                89,406,800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color w:val="000000" w:themeColor="text1"/>
                <w:sz w:val="22"/>
              </w:rPr>
            </w:pPr>
            <w:r w:rsidRPr="003858D2">
              <w:rPr>
                <w:rFonts w:eastAsia="Times New Roman" w:cs="Times New Roman"/>
                <w:color w:val="000000" w:themeColor="text1"/>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color w:val="000000" w:themeColor="text1"/>
                <w:sz w:val="22"/>
              </w:rPr>
            </w:pPr>
            <w:r w:rsidRPr="003858D2">
              <w:rPr>
                <w:rFonts w:eastAsia="Times New Roman" w:cs="Times New Roman"/>
                <w:color w:val="000000" w:themeColor="text1"/>
                <w:sz w:val="22"/>
              </w:rPr>
              <w:t xml:space="preserve">                         123,199,300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Lãi chênh lệch tỷ giá đã thực hiện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Doanh thu hoạt động tài chính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123,660,147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171,809,075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center"/>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center"/>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18</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CHI PHÍ TÀI CHÍNH</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Lãi vay phải trả</w:t>
            </w:r>
          </w:p>
        </w:tc>
        <w:tc>
          <w:tcPr>
            <w:tcW w:w="2000"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177,790,128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xml:space="preserve">  135 342 169</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Chiết khấu thanh toán, lãi bán hàng trả chậm</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lastRenderedPageBreak/>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Lãi trái phiếu phát hành</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Dự phòng tổn thất đầu tư</w:t>
            </w:r>
          </w:p>
        </w:tc>
        <w:tc>
          <w:tcPr>
            <w:tcW w:w="2000"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(91,994,478)</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tài chính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85,795,650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135,342,169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19</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CHI PHÍ BÁN HÀNG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nhân viên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203,824,500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106,661,000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vật liệu, bao bì</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71,031,797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dụng cụ, đồ dùng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khấu hao TSCĐ</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59,659,120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68,663,086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dịch vụ mua ngoài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bằng tiền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33,332,000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                           80,037,532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Thuế đất</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sz w:val="20"/>
                <w:szCs w:val="20"/>
              </w:rPr>
            </w:pPr>
            <w:r w:rsidRPr="003858D2">
              <w:rPr>
                <w:rFonts w:ascii=".VnArial" w:eastAsia="Times New Roman" w:hAnsi=".VnArial" w:cs="Times New Roman"/>
                <w:sz w:val="20"/>
                <w:szCs w:val="20"/>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ascii=".VnArial" w:eastAsia="Times New Roman" w:hAnsi=".VnArial" w:cs="Times New Roman"/>
                <w:sz w:val="20"/>
                <w:szCs w:val="20"/>
              </w:rPr>
            </w:pPr>
            <w:r w:rsidRPr="003858D2">
              <w:rPr>
                <w:rFonts w:ascii=".VnArial" w:eastAsia="Times New Roman" w:hAnsi=".VnArial" w:cs="Times New Roman"/>
                <w:sz w:val="20"/>
                <w:szCs w:val="20"/>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296,815,620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326,393,415 </w:t>
            </w:r>
          </w:p>
        </w:tc>
      </w:tr>
      <w:tr w:rsidR="006D3784" w:rsidRPr="003858D2" w:rsidTr="00557330">
        <w:trPr>
          <w:trHeight w:val="33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center"/>
              <w:rPr>
                <w:rFonts w:eastAsia="Times New Roman" w:cs="Times New Roman"/>
                <w:sz w:val="24"/>
                <w:szCs w:val="24"/>
              </w:rPr>
            </w:pPr>
            <w:r w:rsidRPr="003858D2">
              <w:rPr>
                <w:rFonts w:eastAsia="Times New Roman" w:cs="Times New Roman"/>
                <w:sz w:val="24"/>
                <w:szCs w:val="24"/>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20</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CHI PHÍ QUẢN LÝ DOANH NGHIỆP</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nhân viên quản lý</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3,049,114,270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2,127,914,300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đồ dùng văn phòng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khấu hao TSCĐ</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90,835,629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86,261,530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dự phòng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Thuế, phí và lệ phí</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356,395,477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166,860,000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dịch vụ mua ngoài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204,545,455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323,378,117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bằng tiền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557,628,943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615,325,786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Trợ cấp</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4,258,519,774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3,319,739,733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21</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THU NHẬP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Thu từ thanh lý, nhượng bán TSCĐ</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Tiền hoa hồng bán hàng</w:t>
            </w:r>
          </w:p>
        </w:tc>
        <w:tc>
          <w:tcPr>
            <w:tcW w:w="2000"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4,106,000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lastRenderedPageBreak/>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Thanh lí công cụ, dụng cụ, tôn vụn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Thu nhập khác</w:t>
            </w:r>
          </w:p>
        </w:tc>
        <w:tc>
          <w:tcPr>
            <w:tcW w:w="2000"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6,938,000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275,952,000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11,044,000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275,952,000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22</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CHI PHÍ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xml:space="preserve">Chi phí thanh lý, nhượng bán TSCĐ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đền bù thiên tai</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Tiền phạt do chứng khoán</w:t>
            </w:r>
          </w:p>
        </w:tc>
        <w:tc>
          <w:tcPr>
            <w:tcW w:w="2000"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center"/>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center"/>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Tiền phạt do vi phạm hành chính</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Phạt thuế, truy nộp thuế</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535,000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Chi phí khác</w:t>
            </w:r>
          </w:p>
        </w:tc>
        <w:tc>
          <w:tcPr>
            <w:tcW w:w="2000"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39,962,300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ascii=".VnArial" w:eastAsia="Times New Roman" w:hAnsi=".VnArial" w:cs="Times New Roman"/>
                <w:sz w:val="20"/>
                <w:szCs w:val="20"/>
              </w:rPr>
            </w:pPr>
            <w:r w:rsidRPr="003858D2">
              <w:rPr>
                <w:rFonts w:ascii=".VnArial" w:eastAsia="Times New Roman" w:hAnsi=".VnArial" w:cs="Times New Roman"/>
                <w:sz w:val="20"/>
                <w:szCs w:val="20"/>
              </w:rPr>
              <w:t xml:space="preserve">  5 001 250</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Cộng</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40,497,300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5,001,250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color w:val="0000FF"/>
                <w:sz w:val="22"/>
              </w:rPr>
            </w:pPr>
            <w:r w:rsidRPr="003858D2">
              <w:rPr>
                <w:rFonts w:eastAsia="Times New Roman" w:cs="Times New Roman"/>
                <w:b/>
                <w:bCs/>
                <w:color w:val="0000FF"/>
                <w:sz w:val="22"/>
              </w:rPr>
              <w:t>23</w:t>
            </w:r>
          </w:p>
        </w:tc>
        <w:tc>
          <w:tcPr>
            <w:tcW w:w="6416" w:type="dxa"/>
            <w:gridSpan w:val="2"/>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CHI PHÍ THUẾ THU NHẬP DOANH NGHIỆP HIỆN HÀNH</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/2016</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ascii=".VnTime" w:eastAsia="Times New Roman" w:hAnsi=".VnTime" w:cs="Times New Roman"/>
                <w:b/>
                <w:bCs/>
                <w:sz w:val="22"/>
              </w:rPr>
            </w:pPr>
            <w:r w:rsidRPr="003858D2">
              <w:rPr>
                <w:rFonts w:ascii=".VnTime" w:eastAsia="Times New Roman" w:hAnsi=".VnTime" w:cs="Times New Roman"/>
                <w:b/>
                <w:bCs/>
                <w:sz w:val="22"/>
              </w:rPr>
              <w:t>QuÝ  I /2015</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c>
          <w:tcPr>
            <w:tcW w:w="976" w:type="dxa"/>
            <w:tcBorders>
              <w:top w:val="nil"/>
              <w:left w:val="nil"/>
              <w:bottom w:val="nil"/>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sz w:val="22"/>
              </w:rPr>
            </w:pPr>
          </w:p>
        </w:tc>
        <w:tc>
          <w:tcPr>
            <w:tcW w:w="2736" w:type="dxa"/>
            <w:tcBorders>
              <w:top w:val="nil"/>
              <w:left w:val="nil"/>
              <w:bottom w:val="single" w:sz="4" w:space="0" w:color="auto"/>
              <w:right w:val="nil"/>
            </w:tcBorders>
            <w:shd w:val="clear" w:color="000000" w:fill="FFFFFF"/>
            <w:noWrap/>
            <w:vAlign w:val="bottom"/>
            <w:hideMark/>
          </w:tcPr>
          <w:p w:rsidR="006D3784" w:rsidRPr="003858D2" w:rsidRDefault="006D3784" w:rsidP="006D3784">
            <w:pPr>
              <w:spacing w:after="0" w:line="240" w:lineRule="auto"/>
              <w:jc w:val="center"/>
              <w:rPr>
                <w:rFonts w:eastAsia="Times New Roman" w:cs="Times New Roman"/>
                <w:b/>
                <w:bCs/>
                <w:sz w:val="22"/>
              </w:rPr>
            </w:pPr>
            <w:r w:rsidRPr="003858D2">
              <w:rPr>
                <w:rFonts w:eastAsia="Times New Roman" w:cs="Times New Roman"/>
                <w:b/>
                <w:bCs/>
                <w:sz w:val="22"/>
              </w:rPr>
              <w:t>VND</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Tổng lợi nhuận kế toán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4,501,925,033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xml:space="preserve">                       5,105,307,899 </w:t>
            </w:r>
          </w:p>
        </w:tc>
      </w:tr>
      <w:tr w:rsidR="006D3784" w:rsidRPr="003858D2" w:rsidTr="00557330">
        <w:trPr>
          <w:trHeight w:val="57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Các khoản điều chỉnh tăng giảm lợi nhuận kế toán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color w:val="0000FF"/>
                <w:sz w:val="22"/>
              </w:rPr>
            </w:pPr>
            <w:r w:rsidRPr="003858D2">
              <w:rPr>
                <w:rFonts w:eastAsia="Times New Roman" w:cs="Times New Roman"/>
                <w:i/>
                <w:i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i/>
                <w:iCs/>
                <w:sz w:val="22"/>
              </w:rPr>
            </w:pPr>
            <w:r w:rsidRPr="003858D2">
              <w:rPr>
                <w:rFonts w:eastAsia="Times New Roman" w:cs="Times New Roman"/>
                <w:b/>
                <w:bCs/>
                <w:i/>
                <w:iCs/>
                <w:sz w:val="22"/>
              </w:rPr>
              <w:t>Các khoản điều chỉnh tăng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i/>
                <w:iCs/>
                <w:sz w:val="22"/>
              </w:rPr>
            </w:pPr>
            <w:r w:rsidRPr="003858D2">
              <w:rPr>
                <w:rFonts w:eastAsia="Times New Roman" w:cs="Times New Roman"/>
                <w:i/>
                <w:i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i/>
                <w:iCs/>
                <w:sz w:val="22"/>
              </w:rPr>
            </w:pPr>
            <w:r w:rsidRPr="003858D2">
              <w:rPr>
                <w:rFonts w:eastAsia="Times New Roman" w:cs="Times New Roman"/>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i/>
                <w:iCs/>
                <w:sz w:val="22"/>
              </w:rPr>
            </w:pPr>
            <w:r w:rsidRPr="003858D2">
              <w:rPr>
                <w:rFonts w:eastAsia="Times New Roman" w:cs="Times New Roman"/>
                <w:i/>
                <w:i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i/>
                <w:iCs/>
                <w:color w:val="0000FF"/>
                <w:sz w:val="22"/>
              </w:rPr>
            </w:pPr>
            <w:r w:rsidRPr="003858D2">
              <w:rPr>
                <w:rFonts w:eastAsia="Times New Roman" w:cs="Times New Roman"/>
                <w:i/>
                <w:i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Dự phòng trợ cấp thôi việc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i/>
                <w:iCs/>
                <w:sz w:val="22"/>
              </w:rPr>
            </w:pPr>
            <w:r w:rsidRPr="003858D2">
              <w:rPr>
                <w:rFonts w:eastAsia="Times New Roman" w:cs="Times New Roman"/>
                <w:i/>
                <w:i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i/>
                <w:iCs/>
                <w:sz w:val="22"/>
              </w:rPr>
            </w:pPr>
            <w:r w:rsidRPr="003858D2">
              <w:rPr>
                <w:rFonts w:eastAsia="Times New Roman" w:cs="Times New Roman"/>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i/>
                <w:iCs/>
                <w:sz w:val="22"/>
              </w:rPr>
            </w:pPr>
            <w:r w:rsidRPr="003858D2">
              <w:rPr>
                <w:rFonts w:eastAsia="Times New Roman" w:cs="Times New Roman"/>
                <w:i/>
                <w:iCs/>
                <w:sz w:val="22"/>
              </w:rPr>
              <w:t> </w:t>
            </w:r>
          </w:p>
        </w:tc>
      </w:tr>
      <w:tr w:rsidR="006D3784" w:rsidRPr="003858D2" w:rsidTr="00557330">
        <w:trPr>
          <w:trHeight w:val="6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Lãi tỷ giá chưa thực hiện năm trước chuyển sang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Lỗ chênh lệch tỷ giá chưa thực hiện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Các khoản khác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i/>
                <w:iCs/>
                <w:sz w:val="22"/>
              </w:rPr>
            </w:pPr>
            <w:r w:rsidRPr="003858D2">
              <w:rPr>
                <w:rFonts w:eastAsia="Times New Roman" w:cs="Times New Roman"/>
                <w:b/>
                <w:bCs/>
                <w:i/>
                <w:iCs/>
                <w:sz w:val="22"/>
              </w:rPr>
              <w:t>Các khoản điều chỉnh giảm</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sz w:val="22"/>
              </w:rPr>
            </w:pPr>
            <w:r w:rsidRPr="003858D2">
              <w:rPr>
                <w:rFonts w:eastAsia="Times New Roman" w:cs="Times New Roman"/>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Lãi chênh lệch tỷ giá chưa thực hiện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xml:space="preserve">                             -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xml:space="preserve">                                         - </w:t>
            </w:r>
          </w:p>
        </w:tc>
      </w:tr>
      <w:tr w:rsidR="006D3784" w:rsidRPr="003858D2" w:rsidTr="00557330">
        <w:trPr>
          <w:trHeight w:val="6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Lỗ tỷ giá chưa thực hiện năm trước chuyển sang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Cổ tức nhận được</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xml:space="preserve">             89,406,800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xml:space="preserve">                      123,199,300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Lỗ năm trước chuyển sang</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Tổng lợi nhuận chịu thuế</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xml:space="preserve">        4,412,518,233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xml:space="preserve">                   4,982,108,599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Thuế suất thuế TNDN</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22%</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22%</w:t>
            </w:r>
          </w:p>
        </w:tc>
      </w:tr>
      <w:tr w:rsidR="006D3784" w:rsidRPr="003858D2" w:rsidTr="00557330">
        <w:trPr>
          <w:trHeight w:val="6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hideMark/>
          </w:tcPr>
          <w:p w:rsidR="006D3784" w:rsidRPr="003858D2" w:rsidRDefault="006D3784" w:rsidP="00557330">
            <w:pPr>
              <w:spacing w:after="0" w:line="240" w:lineRule="auto"/>
              <w:jc w:val="both"/>
              <w:rPr>
                <w:rFonts w:eastAsia="Times New Roman" w:cs="Times New Roman"/>
                <w:sz w:val="22"/>
              </w:rPr>
            </w:pPr>
            <w:r w:rsidRPr="003858D2">
              <w:rPr>
                <w:rFonts w:eastAsia="Times New Roman" w:cs="Times New Roman"/>
                <w:sz w:val="22"/>
              </w:rPr>
              <w:t>Chi phí thuế TNDN tính trên thu nhập chịu thuế năm hiện hành</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Pr>
                <w:rFonts w:eastAsia="Times New Roman" w:cs="Times New Roman"/>
                <w:b/>
                <w:bCs/>
                <w:i/>
                <w:iCs/>
                <w:sz w:val="22"/>
              </w:rPr>
              <w:t>970,754,011</w:t>
            </w:r>
            <w:r w:rsidRPr="003858D2">
              <w:rPr>
                <w:rFonts w:eastAsia="Times New Roman" w:cs="Times New Roman"/>
                <w:b/>
                <w:bCs/>
                <w:i/>
                <w:i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right"/>
              <w:rPr>
                <w:rFonts w:eastAsia="Times New Roman" w:cs="Times New Roman"/>
                <w:b/>
                <w:bCs/>
                <w:i/>
                <w:iCs/>
                <w:sz w:val="22"/>
              </w:rPr>
            </w:pPr>
            <w:r w:rsidRPr="003858D2">
              <w:rPr>
                <w:rFonts w:eastAsia="Times New Roman" w:cs="Times New Roman"/>
                <w:b/>
                <w:bCs/>
                <w:i/>
                <w:iCs/>
                <w:sz w:val="22"/>
              </w:rPr>
              <w:t xml:space="preserve">                   1,096,063,892 </w:t>
            </w:r>
          </w:p>
        </w:tc>
      </w:tr>
      <w:tr w:rsidR="006D3784" w:rsidRPr="003858D2" w:rsidTr="00557330">
        <w:trPr>
          <w:trHeight w:val="9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color w:val="0000FF"/>
                <w:sz w:val="22"/>
              </w:rPr>
            </w:pPr>
            <w:r w:rsidRPr="003858D2">
              <w:rPr>
                <w:rFonts w:eastAsia="Times New Roman" w:cs="Times New Roman"/>
                <w:b/>
                <w:bCs/>
                <w:i/>
                <w:iCs/>
                <w:color w:val="0000FF"/>
                <w:sz w:val="22"/>
              </w:rPr>
              <w:t> </w:t>
            </w:r>
          </w:p>
        </w:tc>
        <w:tc>
          <w:tcPr>
            <w:tcW w:w="4416" w:type="dxa"/>
            <w:tcBorders>
              <w:top w:val="nil"/>
              <w:left w:val="nil"/>
              <w:bottom w:val="nil"/>
              <w:right w:val="nil"/>
            </w:tcBorders>
            <w:shd w:val="clear" w:color="000000" w:fill="FFFFFF"/>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Điều chỉnh chi phí thuế TNDN của các năm trước vào chi phí thuế thu nhập hiện hành năm nay</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sz w:val="22"/>
              </w:rPr>
            </w:pPr>
            <w:r w:rsidRPr="003858D2">
              <w:rPr>
                <w:rFonts w:eastAsia="Times New Roman" w:cs="Times New Roman"/>
                <w:b/>
                <w:bCs/>
                <w:i/>
                <w:iCs/>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sz w:val="22"/>
              </w:rPr>
            </w:pPr>
            <w:r w:rsidRPr="003858D2">
              <w:rPr>
                <w:rFonts w:eastAsia="Times New Roman" w:cs="Times New Roman"/>
                <w:b/>
                <w:bCs/>
                <w:i/>
                <w:iCs/>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i/>
                <w:iCs/>
                <w:sz w:val="22"/>
              </w:rPr>
            </w:pPr>
            <w:r w:rsidRPr="003858D2">
              <w:rPr>
                <w:rFonts w:eastAsia="Times New Roman" w:cs="Times New Roman"/>
                <w:b/>
                <w:bCs/>
                <w:i/>
                <w:iCs/>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lastRenderedPageBreak/>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Tổng thuế thu nhập doanh nghiệp phải nộp</w:t>
            </w:r>
          </w:p>
        </w:tc>
        <w:tc>
          <w:tcPr>
            <w:tcW w:w="2000"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970,754,011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w:t>
            </w:r>
          </w:p>
        </w:tc>
        <w:tc>
          <w:tcPr>
            <w:tcW w:w="2736" w:type="dxa"/>
            <w:tcBorders>
              <w:top w:val="single" w:sz="4" w:space="0" w:color="auto"/>
              <w:left w:val="nil"/>
              <w:bottom w:val="double" w:sz="6" w:space="0" w:color="auto"/>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 xml:space="preserve">                    1,096,063,892 </w:t>
            </w:r>
          </w:p>
        </w:tc>
      </w:tr>
      <w:tr w:rsidR="006D3784" w:rsidRPr="003858D2" w:rsidTr="00557330">
        <w:trPr>
          <w:trHeight w:val="31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300"/>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441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sz w:val="22"/>
              </w:rPr>
            </w:pPr>
            <w:r w:rsidRPr="003858D2">
              <w:rPr>
                <w:rFonts w:eastAsia="Times New Roman" w:cs="Times New Roman"/>
                <w:sz w:val="22"/>
              </w:rPr>
              <w:t> </w:t>
            </w:r>
          </w:p>
        </w:tc>
        <w:tc>
          <w:tcPr>
            <w:tcW w:w="2000"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97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c>
          <w:tcPr>
            <w:tcW w:w="2736"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FF0000"/>
                <w:sz w:val="22"/>
              </w:rPr>
            </w:pPr>
            <w:r w:rsidRPr="003858D2">
              <w:rPr>
                <w:rFonts w:eastAsia="Times New Roman" w:cs="Times New Roman"/>
                <w:b/>
                <w:bCs/>
                <w:color w:val="FF0000"/>
                <w:sz w:val="22"/>
              </w:rPr>
              <w:t> </w:t>
            </w:r>
          </w:p>
        </w:tc>
      </w:tr>
      <w:tr w:rsidR="006D3784" w:rsidRPr="003858D2" w:rsidTr="00557330">
        <w:trPr>
          <w:trHeight w:val="103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10128" w:type="dxa"/>
            <w:gridSpan w:val="4"/>
            <w:tcBorders>
              <w:top w:val="nil"/>
              <w:left w:val="nil"/>
              <w:bottom w:val="nil"/>
              <w:right w:val="nil"/>
            </w:tcBorders>
            <w:shd w:val="clear" w:color="000000" w:fill="FFFFFF"/>
            <w:vAlign w:val="bottom"/>
            <w:hideMark/>
          </w:tcPr>
          <w:p w:rsidR="006D3784" w:rsidRPr="003858D2" w:rsidRDefault="006D3784" w:rsidP="00557330">
            <w:pPr>
              <w:spacing w:after="0" w:line="240" w:lineRule="auto"/>
              <w:rPr>
                <w:rFonts w:eastAsia="Times New Roman" w:cs="Times New Roman"/>
                <w:b/>
                <w:bCs/>
                <w:sz w:val="20"/>
                <w:szCs w:val="20"/>
              </w:rPr>
            </w:pPr>
            <w:r w:rsidRPr="003858D2">
              <w:rPr>
                <w:rFonts w:eastAsia="Times New Roman" w:cs="Times New Roman"/>
                <w:b/>
                <w:bCs/>
                <w:sz w:val="20"/>
                <w:szCs w:val="20"/>
              </w:rPr>
              <w:t>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tc>
      </w:tr>
      <w:tr w:rsidR="006D3784" w:rsidRPr="003858D2" w:rsidTr="00557330">
        <w:trPr>
          <w:trHeight w:val="1035"/>
        </w:trPr>
        <w:tc>
          <w:tcPr>
            <w:tcW w:w="284" w:type="dxa"/>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color w:val="0000FF"/>
                <w:sz w:val="22"/>
              </w:rPr>
            </w:pPr>
            <w:r w:rsidRPr="003858D2">
              <w:rPr>
                <w:rFonts w:eastAsia="Times New Roman" w:cs="Times New Roman"/>
                <w:b/>
                <w:bCs/>
                <w:color w:val="0000FF"/>
                <w:sz w:val="22"/>
              </w:rPr>
              <w:t> </w:t>
            </w:r>
          </w:p>
        </w:tc>
        <w:tc>
          <w:tcPr>
            <w:tcW w:w="6416" w:type="dxa"/>
            <w:gridSpan w:val="2"/>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rPr>
                <w:rFonts w:eastAsia="Times New Roman" w:cs="Times New Roman"/>
                <w:b/>
                <w:bCs/>
                <w:sz w:val="22"/>
              </w:rPr>
            </w:pPr>
            <w:r w:rsidRPr="003858D2">
              <w:rPr>
                <w:rFonts w:eastAsia="Times New Roman" w:cs="Times New Roman"/>
                <w:b/>
                <w:bCs/>
                <w:sz w:val="22"/>
              </w:rPr>
              <w:t>Người lập biểu                                 Kê toán trưởng</w:t>
            </w:r>
          </w:p>
        </w:tc>
        <w:tc>
          <w:tcPr>
            <w:tcW w:w="3712" w:type="dxa"/>
            <w:gridSpan w:val="2"/>
            <w:tcBorders>
              <w:top w:val="nil"/>
              <w:left w:val="nil"/>
              <w:bottom w:val="nil"/>
              <w:right w:val="nil"/>
            </w:tcBorders>
            <w:shd w:val="clear" w:color="000000" w:fill="FFFFFF"/>
            <w:noWrap/>
            <w:vAlign w:val="bottom"/>
            <w:hideMark/>
          </w:tcPr>
          <w:p w:rsidR="006D3784" w:rsidRPr="003858D2" w:rsidRDefault="006D3784" w:rsidP="00557330">
            <w:pPr>
              <w:spacing w:after="0" w:line="240" w:lineRule="auto"/>
              <w:jc w:val="center"/>
              <w:rPr>
                <w:rFonts w:eastAsia="Times New Roman" w:cs="Times New Roman"/>
                <w:b/>
                <w:bCs/>
                <w:sz w:val="22"/>
              </w:rPr>
            </w:pPr>
            <w:r w:rsidRPr="003858D2">
              <w:rPr>
                <w:rFonts w:eastAsia="Times New Roman" w:cs="Times New Roman"/>
                <w:b/>
                <w:bCs/>
                <w:sz w:val="22"/>
              </w:rPr>
              <w:t xml:space="preserve"> Giám đốc Công ty </w:t>
            </w:r>
          </w:p>
        </w:tc>
      </w:tr>
    </w:tbl>
    <w:p w:rsidR="006D3784" w:rsidRDefault="006D3784" w:rsidP="006D3784"/>
    <w:p w:rsidR="006D3784" w:rsidRDefault="006D3784"/>
    <w:p w:rsidR="006D3784" w:rsidRDefault="006D3784"/>
    <w:p w:rsidR="006D3784" w:rsidRDefault="006D3784"/>
    <w:p w:rsidR="006D3784" w:rsidRDefault="006D3784"/>
    <w:p w:rsidR="006D3784" w:rsidRDefault="006D3784"/>
    <w:p w:rsidR="006D3784" w:rsidRDefault="006D3784"/>
    <w:p w:rsidR="006D3784" w:rsidRDefault="006D3784"/>
    <w:p w:rsidR="006D3784" w:rsidRDefault="006D3784"/>
    <w:p w:rsidR="006D3784" w:rsidRDefault="006D3784"/>
    <w:p w:rsidR="006D3784" w:rsidRDefault="006D3784"/>
    <w:p w:rsidR="006D3784" w:rsidRDefault="006D3784"/>
    <w:p w:rsidR="006D3784" w:rsidRDefault="006D3784"/>
    <w:p w:rsidR="006D3784" w:rsidRDefault="006D3784"/>
    <w:sectPr w:rsidR="006D3784" w:rsidSect="00E436DB">
      <w:pgSz w:w="11909" w:h="16834" w:code="9"/>
      <w:pgMar w:top="964" w:right="964" w:bottom="96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VnArial">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2C1CEE"/>
    <w:rsid w:val="00275149"/>
    <w:rsid w:val="002C1CEE"/>
    <w:rsid w:val="00326B47"/>
    <w:rsid w:val="005A2512"/>
    <w:rsid w:val="006D3784"/>
    <w:rsid w:val="008F1DB5"/>
    <w:rsid w:val="00D92644"/>
    <w:rsid w:val="00E436DB"/>
    <w:rsid w:val="00F27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p1"/>
    <w:basedOn w:val="Normal"/>
    <w:link w:val="HeaderChar"/>
    <w:rsid w:val="002C1CEE"/>
    <w:pPr>
      <w:widowControl w:val="0"/>
      <w:tabs>
        <w:tab w:val="center" w:pos="4153"/>
        <w:tab w:val="right" w:pos="8306"/>
      </w:tabs>
      <w:snapToGrid w:val="0"/>
      <w:spacing w:after="0" w:line="240" w:lineRule="auto"/>
    </w:pPr>
    <w:rPr>
      <w:rFonts w:eastAsia="SimSun" w:cs="Times New Roman"/>
      <w:kern w:val="2"/>
      <w:sz w:val="18"/>
      <w:szCs w:val="18"/>
      <w:lang w:val="vi-VN" w:eastAsia="zh-CN"/>
    </w:rPr>
  </w:style>
  <w:style w:type="character" w:customStyle="1" w:styleId="HeaderChar">
    <w:name w:val="Header Char"/>
    <w:aliases w:val="Header -p1 Char"/>
    <w:basedOn w:val="DefaultParagraphFont"/>
    <w:link w:val="Header"/>
    <w:rsid w:val="002C1CEE"/>
    <w:rPr>
      <w:rFonts w:eastAsia="SimSun" w:cs="Times New Roman"/>
      <w:kern w:val="2"/>
      <w:sz w:val="18"/>
      <w:szCs w:val="18"/>
      <w:lang w:val="vi-VN" w:eastAsia="zh-CN"/>
    </w:rPr>
  </w:style>
  <w:style w:type="paragraph" w:customStyle="1" w:styleId="Level0">
    <w:name w:val="Level 0"/>
    <w:basedOn w:val="Normal"/>
    <w:rsid w:val="002C1CEE"/>
    <w:pPr>
      <w:tabs>
        <w:tab w:val="left" w:pos="576"/>
        <w:tab w:val="left" w:pos="1152"/>
        <w:tab w:val="left" w:pos="1728"/>
        <w:tab w:val="left" w:pos="2304"/>
      </w:tabs>
      <w:spacing w:before="120" w:after="0" w:line="240" w:lineRule="atLeast"/>
      <w:ind w:left="576" w:hanging="576"/>
    </w:pPr>
    <w:rPr>
      <w:rFonts w:eastAsia="PMingLiU" w:cs="Times New Roman"/>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49NYbEhTwCiwOWZlqiLMXek+alQ=</DigestValue>
    </Reference>
    <Reference URI="#idOfficeObject" Type="http://www.w3.org/2000/09/xmldsig#Object">
      <DigestMethod Algorithm="http://www.w3.org/2000/09/xmldsig#sha1"/>
      <DigestValue>LifAoX8W15b5x3p0+ztkb0SAg8s=</DigestValue>
    </Reference>
  </SignedInfo>
  <SignatureValue>
    r+soCbu1e1ZSmz58zNGaqd3x3qCFO6zq3H87AxEu96oogtPWyPC70bgeSIgfQGemjgGiizB+
    zoyPNGgj1jlC/eugYaXiq1ergUV4P8PfonUGnp9JWvI3HBmCJI5767EbgZZUTY1azX8+W7i1
    ceFR6AH/9zQo3SvrrRBrWu2txB0=
  </SignatureValue>
  <KeyInfo>
    <KeyValue>
      <RSAKeyValue>
        <Modulus>
            6YmQbemtg2Uai91tyea6IOqkVK4YDANJctg63wV9IL9wfg8NhuisfUzN5U1qLg5x/u5apz7S
            FbirnS0obr3Fz9zkCrEB1GbMAwakgPZt1VpRLbOmDYYWfbfjx2QTW+91MsPn+/hv48w8h1W2
            R95i9ys9mztNNuYHacJaPFXKIOs=
          </Modulus>
        <Exponent>AQAB</Exponent>
      </RSAKeyValue>
    </KeyValue>
    <X509Data>
      <X509Certificate>
          MIIB3jCCAUugAwIBAgIQFtpu14OleL1CQAx44/k4GjAJBgUrDgMCHQUAMCkxDjAMBgNVBAMT
          BWR1Y2xjMRcwFQYDVQQKEw41MSBOR1VZRU4gVFJBSTAeFw0xNjA0MTQwOTAxNTNaFw0xNzA0
          MTQxNTAxNTNaMCkxDjAMBgNVBAMTBWR1Y2xjMRcwFQYDVQQKEw41MSBOR1VZRU4gVFJBSTCB
          nzANBgkqhkiG9w0BAQEFAAOBjQAwgYkCgYEA6YmQbemtg2Uai91tyea6IOqkVK4YDANJctg6
          3wV9IL9wfg8NhuisfUzN5U1qLg5x/u5apz7SFbirnS0obr3Fz9zkCrEB1GbMAwakgPZt1VpR
          LbOmDYYWfbfjx2QTW+91MsPn+/hv48w8h1W2R95i9ys9mztNNuYHacJaPFXKIOsCAwEAAaMP
          MA0wCwYDVR0PBAQDAgbAMAkGBSsOAwIdBQADgYEAF/xLqLT/T1FJTaTpkkeaeyWclKbo4Gar
          gW+FfzSctKPW6WofdxmDxoO7K6LJANJ1ImAcKhKAyls89zEaTB2fTzmB2nxyIPMBg/6pWM/w
          1QwON10QIWTET3M1i5NrTYDq3SVdB6hCYWjvyeFTfZmwZ0rEwooQU3BaQQIDh7Z7aUY=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H4WGDa9k7IGhkrW8+i0cE1ge+Q4=</DigestValue>
      </Reference>
      <Reference URI="/word/fontTable.xml?ContentType=application/vnd.openxmlformats-officedocument.wordprocessingml.fontTable+xml">
        <DigestMethod Algorithm="http://www.w3.org/2000/09/xmldsig#sha1"/>
        <DigestValue>y2FIVXQTJnhyUJZTp4ea5eI9QTo=</DigestValue>
      </Reference>
      <Reference URI="/word/settings.xml?ContentType=application/vnd.openxmlformats-officedocument.wordprocessingml.settings+xml">
        <DigestMethod Algorithm="http://www.w3.org/2000/09/xmldsig#sha1"/>
        <DigestValue>udNPwRa/BkZzGVKMGBzznlKau7I=</DigestValue>
      </Reference>
      <Reference URI="/word/styles.xml?ContentType=application/vnd.openxmlformats-officedocument.wordprocessingml.styles+xml">
        <DigestMethod Algorithm="http://www.w3.org/2000/09/xmldsig#sha1"/>
        <DigestValue>zJEa3O83+p154q4cB3q6t3+sRhE=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2016-04-20T09:20:46Z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13</Pages>
  <Words>3530</Words>
  <Characters>20126</Characters>
  <Application>Microsoft Office Word</Application>
  <DocSecurity>0</DocSecurity>
  <Lines>167</Lines>
  <Paragraphs>47</Paragraphs>
  <ScaleCrop>false</ScaleCrop>
  <Company>51 NGUYEN TRAI</Company>
  <LinksUpToDate>false</LinksUpToDate>
  <CharactersWithSpaces>23609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duclc</dc:creator>
  <cp:keywords/>
  <dc:description/>
  <cp:lastModifiedBy>duclc</cp:lastModifiedBy>
  <cp:revision>2</cp:revision>
  <dcterms:created xsi:type="dcterms:W3CDTF">2016-04-20T09:13:00Z</dcterms:created>
  <dcterms:modified xsi:type="dcterms:W3CDTF">2016-04-20T09:13:00Z</dcterms:modified>
</cp:coreProperties>
</file>